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5E539B09" w14:textId="77777777" w:rsidR="00FE2A3D" w:rsidRPr="008D4524" w:rsidRDefault="00FE2A3D" w:rsidP="00FE2A3D">
      <w:pPr>
        <w:widowControl w:val="0"/>
        <w:rPr>
          <w:snapToGrid w:val="0"/>
          <w:sz w:val="28"/>
        </w:rPr>
      </w:pPr>
      <w:r w:rsidRPr="008D4524">
        <w:rPr>
          <w:b/>
          <w:snapToGrid w:val="0"/>
          <w:sz w:val="28"/>
        </w:rPr>
        <w:t xml:space="preserve">Case number: </w:t>
      </w:r>
      <w:r w:rsidRPr="008D4524">
        <w:rPr>
          <w:snapToGrid w:val="0"/>
          <w:sz w:val="28"/>
        </w:rPr>
        <w:t>637</w:t>
      </w:r>
    </w:p>
    <w:p w14:paraId="486F9178" w14:textId="77777777" w:rsidR="00FE2A3D" w:rsidRPr="008D4524" w:rsidRDefault="00FE2A3D" w:rsidP="00FE2A3D">
      <w:pPr>
        <w:widowControl w:val="0"/>
      </w:pPr>
    </w:p>
    <w:p w14:paraId="7B2C8354" w14:textId="77777777" w:rsidR="00FE2A3D" w:rsidRPr="008D4524" w:rsidRDefault="00FE2A3D" w:rsidP="00FE2A3D">
      <w:pPr>
        <w:widowControl w:val="0"/>
      </w:pPr>
    </w:p>
    <w:p w14:paraId="75B72C71" w14:textId="77777777" w:rsidR="00FE2A3D" w:rsidRPr="008D4524" w:rsidRDefault="00FE2A3D" w:rsidP="00FE2A3D">
      <w:pPr>
        <w:widowControl w:val="0"/>
        <w:rPr>
          <w:snapToGrid w:val="0"/>
          <w:sz w:val="28"/>
        </w:rPr>
      </w:pPr>
      <w:r w:rsidRPr="008D4524">
        <w:rPr>
          <w:b/>
          <w:snapToGrid w:val="0"/>
          <w:sz w:val="28"/>
        </w:rPr>
        <w:t xml:space="preserve">Product: </w:t>
      </w:r>
      <w:r w:rsidRPr="008D4524">
        <w:rPr>
          <w:snapToGrid w:val="0"/>
          <w:sz w:val="28"/>
        </w:rPr>
        <w:t>Hot rolled structural steel sections</w:t>
      </w:r>
    </w:p>
    <w:p w14:paraId="0F30DFDE" w14:textId="77777777" w:rsidR="00FE2A3D" w:rsidRPr="008D4524" w:rsidRDefault="00FE2A3D" w:rsidP="00FE2A3D">
      <w:pPr>
        <w:widowControl w:val="0"/>
        <w:rPr>
          <w:snapToGrid w:val="0"/>
        </w:rPr>
      </w:pPr>
    </w:p>
    <w:p w14:paraId="61090204" w14:textId="77777777" w:rsidR="00FE2A3D" w:rsidRPr="008D4524" w:rsidRDefault="00FE2A3D" w:rsidP="00FE2A3D">
      <w:pPr>
        <w:widowControl w:val="0"/>
        <w:rPr>
          <w:snapToGrid w:val="0"/>
        </w:rPr>
      </w:pPr>
    </w:p>
    <w:p w14:paraId="319F4066" w14:textId="77777777" w:rsidR="00FE2A3D" w:rsidRPr="008D4524" w:rsidRDefault="00FE2A3D" w:rsidP="00FE2A3D">
      <w:pPr>
        <w:widowControl w:val="0"/>
        <w:rPr>
          <w:bCs/>
          <w:snapToGrid w:val="0"/>
        </w:rPr>
      </w:pPr>
      <w:r w:rsidRPr="008D4524">
        <w:rPr>
          <w:b/>
          <w:snapToGrid w:val="0"/>
          <w:sz w:val="28"/>
        </w:rPr>
        <w:t>From:</w:t>
      </w:r>
      <w:r w:rsidRPr="008D4524">
        <w:rPr>
          <w:snapToGrid w:val="0"/>
          <w:sz w:val="28"/>
        </w:rPr>
        <w:t xml:space="preserve"> </w:t>
      </w:r>
      <w:r w:rsidRPr="008D4524">
        <w:rPr>
          <w:bCs/>
          <w:snapToGrid w:val="0"/>
          <w:sz w:val="28"/>
          <w:lang w:val="en-US"/>
        </w:rPr>
        <w:t xml:space="preserve">Japan, the Republic of Korea, Taiwan (except by Feng </w:t>
      </w:r>
      <w:proofErr w:type="spellStart"/>
      <w:r w:rsidRPr="008D4524">
        <w:rPr>
          <w:bCs/>
          <w:snapToGrid w:val="0"/>
          <w:sz w:val="28"/>
          <w:lang w:val="en-US"/>
        </w:rPr>
        <w:t>Hsin</w:t>
      </w:r>
      <w:proofErr w:type="spellEnd"/>
      <w:r w:rsidRPr="008D4524">
        <w:rPr>
          <w:bCs/>
          <w:snapToGrid w:val="0"/>
          <w:sz w:val="28"/>
          <w:lang w:val="en-US"/>
        </w:rPr>
        <w:t xml:space="preserve"> Steel Co Ltd, T S Steel Co., Ltd and Tung Ho Steel Enterprise Corporation) and the Kingdom of Thailand</w:t>
      </w:r>
    </w:p>
    <w:p w14:paraId="457666F1" w14:textId="77777777" w:rsidR="00FE2A3D" w:rsidRPr="008D4524" w:rsidRDefault="00FE2A3D" w:rsidP="00FE2A3D">
      <w:pPr>
        <w:widowControl w:val="0"/>
        <w:rPr>
          <w:snapToGrid w:val="0"/>
        </w:rPr>
      </w:pPr>
    </w:p>
    <w:p w14:paraId="6A57F5E1" w14:textId="77777777" w:rsidR="00FE2A3D" w:rsidRPr="008D4524" w:rsidRDefault="00FE2A3D" w:rsidP="00FE2A3D">
      <w:pPr>
        <w:widowControl w:val="0"/>
        <w:rPr>
          <w:snapToGrid w:val="0"/>
        </w:rPr>
      </w:pPr>
    </w:p>
    <w:p w14:paraId="4B8099C5" w14:textId="77777777" w:rsidR="00FE2A3D" w:rsidRPr="008D4524" w:rsidRDefault="00FE2A3D" w:rsidP="00FE2A3D">
      <w:pPr>
        <w:widowControl w:val="0"/>
        <w:rPr>
          <w:snapToGrid w:val="0"/>
          <w:sz w:val="28"/>
        </w:rPr>
      </w:pPr>
      <w:r w:rsidRPr="008D4524">
        <w:rPr>
          <w:b/>
          <w:snapToGrid w:val="0"/>
          <w:sz w:val="28"/>
        </w:rPr>
        <w:t xml:space="preserve">Inquiry period: </w:t>
      </w:r>
      <w:r w:rsidRPr="008D4524">
        <w:rPr>
          <w:snapToGrid w:val="0"/>
          <w:sz w:val="28"/>
        </w:rPr>
        <w:t xml:space="preserve">1 October 2022 to 30 September 2023 (the period) </w:t>
      </w:r>
    </w:p>
    <w:p w14:paraId="1A0681B5" w14:textId="4530EB1E" w:rsidR="00515B70" w:rsidRDefault="00515B70">
      <w:pPr>
        <w:widowControl w:val="0"/>
        <w:rPr>
          <w:snapToGrid w:val="0"/>
        </w:rPr>
      </w:pPr>
    </w:p>
    <w:p w14:paraId="1A0681B6" w14:textId="6C8A98E0"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F7E9F6C"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6EAD8CD8" w:rsidR="00884389" w:rsidRPr="00FE2A3D" w:rsidRDefault="00FE2A3D" w:rsidP="00884389">
            <w:pPr>
              <w:widowControl w:val="0"/>
              <w:rPr>
                <w:snapToGrid w:val="0"/>
                <w:sz w:val="28"/>
              </w:rPr>
            </w:pPr>
            <w:r w:rsidRPr="00FE2A3D">
              <w:rPr>
                <w:snapToGrid w:val="0"/>
                <w:sz w:val="28"/>
              </w:rPr>
              <w:t>12 January 2024</w:t>
            </w:r>
          </w:p>
        </w:tc>
      </w:tr>
      <w:tr w:rsidR="00884389" w14:paraId="1A0681BF" w14:textId="77777777" w:rsidTr="00884389">
        <w:trPr>
          <w:trHeight w:val="567"/>
        </w:trPr>
        <w:tc>
          <w:tcPr>
            <w:tcW w:w="1980" w:type="dxa"/>
            <w:vAlign w:val="center"/>
          </w:tcPr>
          <w:p w14:paraId="1A0681BD" w14:textId="77777777" w:rsidR="00884389" w:rsidRPr="00884389" w:rsidRDefault="00884389" w:rsidP="00884389">
            <w:pPr>
              <w:widowControl w:val="0"/>
              <w:rPr>
                <w:snapToGrid w:val="0"/>
                <w:sz w:val="28"/>
              </w:rPr>
            </w:pPr>
            <w:r>
              <w:rPr>
                <w:snapToGrid w:val="0"/>
                <w:sz w:val="28"/>
              </w:rPr>
              <w:t>B &amp; C</w:t>
            </w:r>
          </w:p>
        </w:tc>
        <w:tc>
          <w:tcPr>
            <w:tcW w:w="7037" w:type="dxa"/>
            <w:vAlign w:val="center"/>
          </w:tcPr>
          <w:p w14:paraId="1A0681BE" w14:textId="122D9CCF" w:rsidR="00884389" w:rsidRPr="00FE2A3D" w:rsidRDefault="00FE2A3D" w:rsidP="00884389">
            <w:pPr>
              <w:widowControl w:val="0"/>
              <w:rPr>
                <w:snapToGrid w:val="0"/>
                <w:sz w:val="28"/>
              </w:rPr>
            </w:pPr>
            <w:r w:rsidRPr="00FE2A3D">
              <w:rPr>
                <w:snapToGrid w:val="0"/>
                <w:sz w:val="28"/>
              </w:rPr>
              <w:t>12 January 2024</w:t>
            </w:r>
          </w:p>
        </w:tc>
      </w:tr>
      <w:tr w:rsidR="00884389" w14:paraId="1A0681C2" w14:textId="77777777" w:rsidTr="00884389">
        <w:trPr>
          <w:trHeight w:val="567"/>
        </w:trPr>
        <w:tc>
          <w:tcPr>
            <w:tcW w:w="1980" w:type="dxa"/>
            <w:vAlign w:val="center"/>
          </w:tcPr>
          <w:p w14:paraId="1A0681C0" w14:textId="77777777" w:rsidR="00884389" w:rsidRPr="00884389" w:rsidRDefault="00884389" w:rsidP="00884389">
            <w:pPr>
              <w:widowControl w:val="0"/>
              <w:rPr>
                <w:snapToGrid w:val="0"/>
                <w:sz w:val="28"/>
              </w:rPr>
            </w:pPr>
            <w:r>
              <w:rPr>
                <w:snapToGrid w:val="0"/>
                <w:sz w:val="28"/>
              </w:rPr>
              <w:t>D &amp; E</w:t>
            </w:r>
          </w:p>
        </w:tc>
        <w:tc>
          <w:tcPr>
            <w:tcW w:w="7037" w:type="dxa"/>
            <w:vAlign w:val="center"/>
          </w:tcPr>
          <w:p w14:paraId="1A0681C1" w14:textId="4F92F8A7" w:rsidR="00884389" w:rsidRPr="00FE2A3D" w:rsidRDefault="00FE2A3D" w:rsidP="00884389">
            <w:pPr>
              <w:widowControl w:val="0"/>
              <w:rPr>
                <w:snapToGrid w:val="0"/>
                <w:sz w:val="28"/>
              </w:rPr>
            </w:pPr>
            <w:r w:rsidRPr="00FE2A3D">
              <w:rPr>
                <w:snapToGrid w:val="0"/>
                <w:sz w:val="28"/>
              </w:rPr>
              <w:t>12 January 2024</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3D94837" w14:textId="77777777" w:rsidR="00FE2A3D" w:rsidRPr="008D4524" w:rsidRDefault="00FE2A3D" w:rsidP="00FE2A3D">
      <w:pPr>
        <w:widowControl w:val="0"/>
        <w:rPr>
          <w:snapToGrid w:val="0"/>
          <w:sz w:val="28"/>
        </w:rPr>
      </w:pPr>
      <w:bookmarkStart w:id="0" w:name="_Toc506971814"/>
      <w:bookmarkStart w:id="1" w:name="_Toc508203806"/>
      <w:bookmarkStart w:id="2" w:name="_Toc508290340"/>
      <w:bookmarkStart w:id="3" w:name="_Toc515637624"/>
      <w:bookmarkStart w:id="4" w:name="_Toc104457340"/>
      <w:r w:rsidRPr="008D4524">
        <w:rPr>
          <w:b/>
          <w:snapToGrid w:val="0"/>
          <w:sz w:val="28"/>
        </w:rPr>
        <w:t>Email enquiries to:</w:t>
      </w:r>
      <w:r w:rsidRPr="008D4524">
        <w:rPr>
          <w:snapToGrid w:val="0"/>
          <w:sz w:val="28"/>
        </w:rPr>
        <w:t xml:space="preserve"> </w:t>
      </w:r>
      <w:hyperlink r:id="rId11" w:history="1">
        <w:r w:rsidRPr="008D4524">
          <w:rPr>
            <w:rStyle w:val="Hyperlink"/>
            <w:snapToGrid w:val="0"/>
            <w:color w:val="auto"/>
            <w:sz w:val="28"/>
          </w:rPr>
          <w:t>investigations@adcommission.gov.au</w:t>
        </w:r>
      </w:hyperlink>
      <w:r w:rsidRPr="008D4524">
        <w:rPr>
          <w:snapToGrid w:val="0"/>
          <w:sz w:val="28"/>
        </w:rPr>
        <w:t xml:space="preserve"> </w:t>
      </w:r>
    </w:p>
    <w:p w14:paraId="11B41749" w14:textId="77777777" w:rsidR="00FE2A3D" w:rsidRPr="008D4524" w:rsidRDefault="00FE2A3D" w:rsidP="00FE2A3D">
      <w:pPr>
        <w:widowControl w:val="0"/>
      </w:pPr>
    </w:p>
    <w:p w14:paraId="44EE12ED" w14:textId="77777777" w:rsidR="00FE2A3D" w:rsidRPr="008D4524" w:rsidRDefault="00FE2A3D" w:rsidP="00FE2A3D">
      <w:pPr>
        <w:widowControl w:val="0"/>
      </w:pPr>
    </w:p>
    <w:p w14:paraId="7C58EBE8" w14:textId="77777777" w:rsidR="00FE2A3D" w:rsidRPr="008D4524" w:rsidRDefault="00FE2A3D" w:rsidP="00FE2A3D">
      <w:pPr>
        <w:widowControl w:val="0"/>
        <w:rPr>
          <w:snapToGrid w:val="0"/>
          <w:sz w:val="28"/>
        </w:rPr>
      </w:pPr>
      <w:r w:rsidRPr="008D4524">
        <w:rPr>
          <w:b/>
          <w:snapToGrid w:val="0"/>
          <w:sz w:val="28"/>
        </w:rPr>
        <w:t>Anti-Dumping Commission website:</w:t>
      </w:r>
      <w:r w:rsidRPr="008D4524">
        <w:rPr>
          <w:snapToGrid w:val="0"/>
          <w:sz w:val="28"/>
        </w:rPr>
        <w:t xml:space="preserve"> </w:t>
      </w:r>
      <w:hyperlink r:id="rId12" w:history="1">
        <w:r w:rsidRPr="008D4524">
          <w:rPr>
            <w:rStyle w:val="Hyperlink"/>
            <w:color w:val="auto"/>
            <w:sz w:val="28"/>
          </w:rPr>
          <w:t>www.adcommission.gov.au</w:t>
        </w:r>
      </w:hyperlink>
      <w:r w:rsidRPr="008D4524">
        <w:rPr>
          <w:snapToGrid w:val="0"/>
          <w:sz w:val="28"/>
        </w:rPr>
        <w:t xml:space="preserve"> </w:t>
      </w:r>
    </w:p>
    <w:p w14:paraId="7A5F0D00" w14:textId="77777777" w:rsidR="00FE2A3D" w:rsidRPr="008D4524" w:rsidRDefault="00FE2A3D" w:rsidP="00FE2A3D">
      <w:pPr>
        <w:widowControl w:val="0"/>
        <w:rPr>
          <w:snapToGrid w:val="0"/>
        </w:rPr>
      </w:pPr>
    </w:p>
    <w:p w14:paraId="2B82C498" w14:textId="77777777" w:rsidR="00FE2A3D" w:rsidRPr="008D4524" w:rsidRDefault="00FE2A3D" w:rsidP="00FE2A3D">
      <w:pPr>
        <w:widowControl w:val="0"/>
        <w:rPr>
          <w:snapToGrid w:val="0"/>
        </w:rPr>
      </w:pPr>
    </w:p>
    <w:p w14:paraId="52BCBDFB" w14:textId="77777777" w:rsidR="00FE2A3D" w:rsidRPr="008D4524" w:rsidRDefault="00FE2A3D" w:rsidP="00FE2A3D">
      <w:pPr>
        <w:widowControl w:val="0"/>
        <w:rPr>
          <w:snapToGrid w:val="0"/>
        </w:rPr>
      </w:pPr>
    </w:p>
    <w:p w14:paraId="2DD119F4" w14:textId="77777777" w:rsidR="00FE2A3D" w:rsidRPr="008D4524" w:rsidRDefault="00FE2A3D" w:rsidP="00FE2A3D">
      <w:pPr>
        <w:widowControl w:val="0"/>
        <w:rPr>
          <w:snapToGrid w:val="0"/>
        </w:rPr>
      </w:pPr>
    </w:p>
    <w:p w14:paraId="49DD8254" w14:textId="77777777" w:rsidR="00FE2A3D" w:rsidRPr="008D4524" w:rsidRDefault="00FE2A3D" w:rsidP="00FE2A3D">
      <w:pPr>
        <w:widowControl w:val="0"/>
        <w:rPr>
          <w:snapToGrid w:val="0"/>
        </w:rPr>
      </w:pPr>
    </w:p>
    <w:p w14:paraId="51DD9E71" w14:textId="77777777" w:rsidR="00FE2A3D" w:rsidRPr="008D4524" w:rsidRDefault="00FE2A3D" w:rsidP="00FE2A3D">
      <w:pPr>
        <w:widowControl w:val="0"/>
        <w:rPr>
          <w:snapToGrid w:val="0"/>
        </w:rPr>
      </w:pPr>
    </w:p>
    <w:p w14:paraId="3E142B4B" w14:textId="77777777" w:rsidR="00FE2A3D" w:rsidRPr="008D4524" w:rsidRDefault="00FE2A3D" w:rsidP="00FE2A3D">
      <w:pPr>
        <w:widowControl w:val="0"/>
        <w:rPr>
          <w:snapToGrid w:val="0"/>
        </w:rPr>
      </w:pPr>
    </w:p>
    <w:p w14:paraId="26CDB8B6" w14:textId="77777777" w:rsidR="00FE2A3D" w:rsidRPr="008D4524" w:rsidRDefault="00FE2A3D" w:rsidP="00FE2A3D">
      <w:pPr>
        <w:widowControl w:val="0"/>
        <w:rPr>
          <w:snapToGrid w:val="0"/>
        </w:rPr>
      </w:pPr>
    </w:p>
    <w:p w14:paraId="3D33D723" w14:textId="77777777" w:rsidR="00FE2A3D" w:rsidRPr="008D4524" w:rsidRDefault="00FE2A3D" w:rsidP="00FE2A3D">
      <w:pPr>
        <w:widowControl w:val="0"/>
        <w:rPr>
          <w:snapToGrid w:val="0"/>
        </w:rPr>
      </w:pPr>
    </w:p>
    <w:p w14:paraId="08D13C53" w14:textId="77777777" w:rsidR="00FE2A3D" w:rsidRPr="008D4524" w:rsidRDefault="00FE2A3D" w:rsidP="00FE2A3D">
      <w:pPr>
        <w:widowControl w:val="0"/>
        <w:pBdr>
          <w:top w:val="single" w:sz="4" w:space="1" w:color="auto"/>
          <w:left w:val="single" w:sz="4" w:space="4" w:color="auto"/>
          <w:bottom w:val="single" w:sz="4" w:space="1" w:color="auto"/>
          <w:right w:val="single" w:sz="4" w:space="4" w:color="auto"/>
        </w:pBdr>
        <w:rPr>
          <w:b/>
          <w:snapToGrid w:val="0"/>
          <w:sz w:val="28"/>
        </w:rPr>
      </w:pPr>
      <w:r w:rsidRPr="008D4524">
        <w:rPr>
          <w:b/>
          <w:snapToGrid w:val="0"/>
          <w:sz w:val="28"/>
        </w:rPr>
        <w:t>Responses to the exporter questionnaire must be submitted via SIGBOX. Please contact the commission on the above email address to request access to SIGBOX.</w:t>
      </w:r>
    </w:p>
    <w:p w14:paraId="1A0681C9" w14:textId="77777777" w:rsidR="00515B70" w:rsidRDefault="00515B70" w:rsidP="00033ADB">
      <w:pPr>
        <w:pStyle w:val="Heading1"/>
      </w:pPr>
      <w:r>
        <w:lastRenderedPageBreak/>
        <w:t>Table of contents</w:t>
      </w:r>
      <w:bookmarkEnd w:id="0"/>
      <w:bookmarkEnd w:id="1"/>
      <w:bookmarkEnd w:id="2"/>
      <w:bookmarkEnd w:id="3"/>
      <w:bookmarkEnd w:id="4"/>
    </w:p>
    <w:p w14:paraId="6E5B2C43" w14:textId="77777777" w:rsidR="009D4791"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04457340" w:history="1">
        <w:r w:rsidR="009D4791" w:rsidRPr="008553F6">
          <w:rPr>
            <w:rStyle w:val="Hyperlink"/>
            <w:noProof/>
          </w:rPr>
          <w:t>Table of contents</w:t>
        </w:r>
        <w:r w:rsidR="009D4791">
          <w:rPr>
            <w:noProof/>
            <w:webHidden/>
          </w:rPr>
          <w:tab/>
        </w:r>
        <w:r w:rsidR="009D4791">
          <w:rPr>
            <w:noProof/>
            <w:webHidden/>
          </w:rPr>
          <w:fldChar w:fldCharType="begin"/>
        </w:r>
        <w:r w:rsidR="009D4791">
          <w:rPr>
            <w:noProof/>
            <w:webHidden/>
          </w:rPr>
          <w:instrText xml:space="preserve"> PAGEREF _Toc104457340 \h </w:instrText>
        </w:r>
        <w:r w:rsidR="009D4791">
          <w:rPr>
            <w:noProof/>
            <w:webHidden/>
          </w:rPr>
        </w:r>
        <w:r w:rsidR="009D4791">
          <w:rPr>
            <w:noProof/>
            <w:webHidden/>
          </w:rPr>
          <w:fldChar w:fldCharType="separate"/>
        </w:r>
        <w:r w:rsidR="009D4791">
          <w:rPr>
            <w:noProof/>
            <w:webHidden/>
          </w:rPr>
          <w:t>2</w:t>
        </w:r>
        <w:r w:rsidR="009D4791">
          <w:rPr>
            <w:noProof/>
            <w:webHidden/>
          </w:rPr>
          <w:fldChar w:fldCharType="end"/>
        </w:r>
      </w:hyperlink>
    </w:p>
    <w:p w14:paraId="3ABDFA54" w14:textId="77777777" w:rsidR="009D4791" w:rsidRDefault="006B3F3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1" w:history="1">
        <w:r w:rsidR="009D4791" w:rsidRPr="008553F6">
          <w:rPr>
            <w:rStyle w:val="Hyperlink"/>
            <w:noProof/>
          </w:rPr>
          <w:t>Instructions</w:t>
        </w:r>
        <w:r w:rsidR="009D4791">
          <w:rPr>
            <w:noProof/>
            <w:webHidden/>
          </w:rPr>
          <w:tab/>
        </w:r>
        <w:r w:rsidR="009D4791">
          <w:rPr>
            <w:noProof/>
            <w:webHidden/>
          </w:rPr>
          <w:fldChar w:fldCharType="begin"/>
        </w:r>
        <w:r w:rsidR="009D4791">
          <w:rPr>
            <w:noProof/>
            <w:webHidden/>
          </w:rPr>
          <w:instrText xml:space="preserve"> PAGEREF _Toc104457341 \h </w:instrText>
        </w:r>
        <w:r w:rsidR="009D4791">
          <w:rPr>
            <w:noProof/>
            <w:webHidden/>
          </w:rPr>
        </w:r>
        <w:r w:rsidR="009D4791">
          <w:rPr>
            <w:noProof/>
            <w:webHidden/>
          </w:rPr>
          <w:fldChar w:fldCharType="separate"/>
        </w:r>
        <w:r w:rsidR="009D4791">
          <w:rPr>
            <w:noProof/>
            <w:webHidden/>
          </w:rPr>
          <w:t>3</w:t>
        </w:r>
        <w:r w:rsidR="009D4791">
          <w:rPr>
            <w:noProof/>
            <w:webHidden/>
          </w:rPr>
          <w:fldChar w:fldCharType="end"/>
        </w:r>
      </w:hyperlink>
    </w:p>
    <w:p w14:paraId="25394940" w14:textId="77777777" w:rsidR="009D4791" w:rsidRDefault="006B3F3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2" w:history="1">
        <w:r w:rsidR="009D4791" w:rsidRPr="008553F6">
          <w:rPr>
            <w:rStyle w:val="Hyperlink"/>
            <w:noProof/>
          </w:rPr>
          <w:t>Goods under consideration / Goods subject to Anti-dumping measures</w:t>
        </w:r>
        <w:r w:rsidR="009D4791">
          <w:rPr>
            <w:noProof/>
            <w:webHidden/>
          </w:rPr>
          <w:tab/>
        </w:r>
        <w:r w:rsidR="009D4791">
          <w:rPr>
            <w:noProof/>
            <w:webHidden/>
          </w:rPr>
          <w:fldChar w:fldCharType="begin"/>
        </w:r>
        <w:r w:rsidR="009D4791">
          <w:rPr>
            <w:noProof/>
            <w:webHidden/>
          </w:rPr>
          <w:instrText xml:space="preserve"> PAGEREF _Toc104457342 \h </w:instrText>
        </w:r>
        <w:r w:rsidR="009D4791">
          <w:rPr>
            <w:noProof/>
            <w:webHidden/>
          </w:rPr>
        </w:r>
        <w:r w:rsidR="009D4791">
          <w:rPr>
            <w:noProof/>
            <w:webHidden/>
          </w:rPr>
          <w:fldChar w:fldCharType="separate"/>
        </w:r>
        <w:r w:rsidR="009D4791">
          <w:rPr>
            <w:noProof/>
            <w:webHidden/>
          </w:rPr>
          <w:t>5</w:t>
        </w:r>
        <w:r w:rsidR="009D4791">
          <w:rPr>
            <w:noProof/>
            <w:webHidden/>
          </w:rPr>
          <w:fldChar w:fldCharType="end"/>
        </w:r>
      </w:hyperlink>
    </w:p>
    <w:p w14:paraId="21BBE2D6" w14:textId="77777777" w:rsidR="009D4791" w:rsidRDefault="006B3F3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3" w:history="1">
        <w:r w:rsidR="009D4791" w:rsidRPr="008553F6">
          <w:rPr>
            <w:rStyle w:val="Hyperlink"/>
            <w:noProof/>
          </w:rPr>
          <w:t>Section A Company and supplier information</w:t>
        </w:r>
        <w:r w:rsidR="009D4791">
          <w:rPr>
            <w:noProof/>
            <w:webHidden/>
          </w:rPr>
          <w:tab/>
        </w:r>
        <w:r w:rsidR="009D4791">
          <w:rPr>
            <w:noProof/>
            <w:webHidden/>
          </w:rPr>
          <w:fldChar w:fldCharType="begin"/>
        </w:r>
        <w:r w:rsidR="009D4791">
          <w:rPr>
            <w:noProof/>
            <w:webHidden/>
          </w:rPr>
          <w:instrText xml:space="preserve"> PAGEREF _Toc104457343 \h </w:instrText>
        </w:r>
        <w:r w:rsidR="009D4791">
          <w:rPr>
            <w:noProof/>
            <w:webHidden/>
          </w:rPr>
        </w:r>
        <w:r w:rsidR="009D4791">
          <w:rPr>
            <w:noProof/>
            <w:webHidden/>
          </w:rPr>
          <w:fldChar w:fldCharType="separate"/>
        </w:r>
        <w:r w:rsidR="009D4791">
          <w:rPr>
            <w:noProof/>
            <w:webHidden/>
          </w:rPr>
          <w:t>6</w:t>
        </w:r>
        <w:r w:rsidR="009D4791">
          <w:rPr>
            <w:noProof/>
            <w:webHidden/>
          </w:rPr>
          <w:fldChar w:fldCharType="end"/>
        </w:r>
      </w:hyperlink>
    </w:p>
    <w:p w14:paraId="3FF9E344" w14:textId="77777777" w:rsidR="009D4791" w:rsidRDefault="006B3F3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4" w:history="1">
        <w:r w:rsidR="009D4791" w:rsidRPr="008553F6">
          <w:rPr>
            <w:rStyle w:val="Hyperlink"/>
            <w:noProof/>
          </w:rPr>
          <w:t>Section B Imports &amp; forward orders</w:t>
        </w:r>
        <w:r w:rsidR="009D4791">
          <w:rPr>
            <w:noProof/>
            <w:webHidden/>
          </w:rPr>
          <w:tab/>
        </w:r>
        <w:r w:rsidR="009D4791">
          <w:rPr>
            <w:noProof/>
            <w:webHidden/>
          </w:rPr>
          <w:fldChar w:fldCharType="begin"/>
        </w:r>
        <w:r w:rsidR="009D4791">
          <w:rPr>
            <w:noProof/>
            <w:webHidden/>
          </w:rPr>
          <w:instrText xml:space="preserve"> PAGEREF _Toc104457344 \h </w:instrText>
        </w:r>
        <w:r w:rsidR="009D4791">
          <w:rPr>
            <w:noProof/>
            <w:webHidden/>
          </w:rPr>
        </w:r>
        <w:r w:rsidR="009D4791">
          <w:rPr>
            <w:noProof/>
            <w:webHidden/>
          </w:rPr>
          <w:fldChar w:fldCharType="separate"/>
        </w:r>
        <w:r w:rsidR="009D4791">
          <w:rPr>
            <w:noProof/>
            <w:webHidden/>
          </w:rPr>
          <w:t>7</w:t>
        </w:r>
        <w:r w:rsidR="009D4791">
          <w:rPr>
            <w:noProof/>
            <w:webHidden/>
          </w:rPr>
          <w:fldChar w:fldCharType="end"/>
        </w:r>
      </w:hyperlink>
    </w:p>
    <w:p w14:paraId="70907208" w14:textId="77777777" w:rsidR="009D4791" w:rsidRDefault="006B3F3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5" w:history="1">
        <w:r w:rsidR="009D4791" w:rsidRPr="008553F6">
          <w:rPr>
            <w:rStyle w:val="Hyperlink"/>
            <w:noProof/>
          </w:rPr>
          <w:t>Section C Sales and SG&amp;A</w:t>
        </w:r>
        <w:r w:rsidR="009D4791">
          <w:rPr>
            <w:noProof/>
            <w:webHidden/>
          </w:rPr>
          <w:tab/>
        </w:r>
        <w:r w:rsidR="009D4791">
          <w:rPr>
            <w:noProof/>
            <w:webHidden/>
          </w:rPr>
          <w:fldChar w:fldCharType="begin"/>
        </w:r>
        <w:r w:rsidR="009D4791">
          <w:rPr>
            <w:noProof/>
            <w:webHidden/>
          </w:rPr>
          <w:instrText xml:space="preserve"> PAGEREF _Toc104457345 \h </w:instrText>
        </w:r>
        <w:r w:rsidR="009D4791">
          <w:rPr>
            <w:noProof/>
            <w:webHidden/>
          </w:rPr>
        </w:r>
        <w:r w:rsidR="009D4791">
          <w:rPr>
            <w:noProof/>
            <w:webHidden/>
          </w:rPr>
          <w:fldChar w:fldCharType="separate"/>
        </w:r>
        <w:r w:rsidR="009D4791">
          <w:rPr>
            <w:noProof/>
            <w:webHidden/>
          </w:rPr>
          <w:t>8</w:t>
        </w:r>
        <w:r w:rsidR="009D4791">
          <w:rPr>
            <w:noProof/>
            <w:webHidden/>
          </w:rPr>
          <w:fldChar w:fldCharType="end"/>
        </w:r>
      </w:hyperlink>
    </w:p>
    <w:p w14:paraId="70737DF0" w14:textId="77777777" w:rsidR="009D4791" w:rsidRDefault="006B3F3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6" w:history="1">
        <w:r w:rsidR="009D4791" w:rsidRPr="008553F6">
          <w:rPr>
            <w:rStyle w:val="Hyperlink"/>
            <w:noProof/>
          </w:rPr>
          <w:t>Section D Further company and import information</w:t>
        </w:r>
        <w:r w:rsidR="009D4791">
          <w:rPr>
            <w:noProof/>
            <w:webHidden/>
          </w:rPr>
          <w:tab/>
        </w:r>
        <w:r w:rsidR="009D4791">
          <w:rPr>
            <w:noProof/>
            <w:webHidden/>
          </w:rPr>
          <w:fldChar w:fldCharType="begin"/>
        </w:r>
        <w:r w:rsidR="009D4791">
          <w:rPr>
            <w:noProof/>
            <w:webHidden/>
          </w:rPr>
          <w:instrText xml:space="preserve"> PAGEREF _Toc104457346 \h </w:instrText>
        </w:r>
        <w:r w:rsidR="009D4791">
          <w:rPr>
            <w:noProof/>
            <w:webHidden/>
          </w:rPr>
        </w:r>
        <w:r w:rsidR="009D4791">
          <w:rPr>
            <w:noProof/>
            <w:webHidden/>
          </w:rPr>
          <w:fldChar w:fldCharType="separate"/>
        </w:r>
        <w:r w:rsidR="009D4791">
          <w:rPr>
            <w:noProof/>
            <w:webHidden/>
          </w:rPr>
          <w:t>9</w:t>
        </w:r>
        <w:r w:rsidR="009D4791">
          <w:rPr>
            <w:noProof/>
            <w:webHidden/>
          </w:rPr>
          <w:fldChar w:fldCharType="end"/>
        </w:r>
      </w:hyperlink>
    </w:p>
    <w:p w14:paraId="19B342B9" w14:textId="77777777" w:rsidR="009D4791" w:rsidRDefault="006B3F3A">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7" w:history="1">
        <w:r w:rsidR="009D4791" w:rsidRPr="008553F6">
          <w:rPr>
            <w:rStyle w:val="Hyperlink"/>
            <w:noProof/>
          </w:rPr>
          <w:t>Section E Further sales information</w:t>
        </w:r>
        <w:r w:rsidR="009D4791">
          <w:rPr>
            <w:noProof/>
            <w:webHidden/>
          </w:rPr>
          <w:tab/>
        </w:r>
        <w:r w:rsidR="009D4791">
          <w:rPr>
            <w:noProof/>
            <w:webHidden/>
          </w:rPr>
          <w:fldChar w:fldCharType="begin"/>
        </w:r>
        <w:r w:rsidR="009D4791">
          <w:rPr>
            <w:noProof/>
            <w:webHidden/>
          </w:rPr>
          <w:instrText xml:space="preserve"> PAGEREF _Toc104457347 \h </w:instrText>
        </w:r>
        <w:r w:rsidR="009D4791">
          <w:rPr>
            <w:noProof/>
            <w:webHidden/>
          </w:rPr>
        </w:r>
        <w:r w:rsidR="009D4791">
          <w:rPr>
            <w:noProof/>
            <w:webHidden/>
          </w:rPr>
          <w:fldChar w:fldCharType="separate"/>
        </w:r>
        <w:r w:rsidR="009D4791">
          <w:rPr>
            <w:noProof/>
            <w:webHidden/>
          </w:rPr>
          <w:t>12</w:t>
        </w:r>
        <w:r w:rsidR="009D4791">
          <w:rPr>
            <w:noProof/>
            <w:webHidden/>
          </w:rPr>
          <w:fldChar w:fldCharType="end"/>
        </w:r>
      </w:hyperlink>
    </w:p>
    <w:p w14:paraId="1A0681D2" w14:textId="77777777"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104457341"/>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51784797"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r w:rsidR="00D90B55">
        <w:rPr>
          <w:b/>
        </w:rPr>
        <w:t xml:space="preserve"> </w:t>
      </w:r>
    </w:p>
    <w:p w14:paraId="1A0681D6" w14:textId="77777777" w:rsidR="00515B70" w:rsidRDefault="00515B70" w:rsidP="00773597">
      <w:pPr>
        <w:rPr>
          <w:snapToGrid w:val="0"/>
        </w:rPr>
      </w:pPr>
    </w:p>
    <w:p w14:paraId="1A0681D7" w14:textId="762BDD2E" w:rsidR="00162238" w:rsidRDefault="00515B70" w:rsidP="00162238">
      <w:r>
        <w:rPr>
          <w:snapToGrid w:val="0"/>
        </w:rPr>
        <w:t xml:space="preserve">The </w:t>
      </w:r>
      <w:r w:rsidR="00CD2329">
        <w:rPr>
          <w:snapToGrid w:val="0"/>
        </w:rPr>
        <w:t>Anti-Dumping Commission (</w:t>
      </w:r>
      <w:r w:rsidR="00A165CB">
        <w:rPr>
          <w:snapToGrid w:val="0"/>
        </w:rPr>
        <w:t>the commission</w:t>
      </w:r>
      <w:r>
        <w:rPr>
          <w:snapToGrid w:val="0"/>
        </w:rPr>
        <w:t xml:space="preserve">) is </w:t>
      </w:r>
      <w:r w:rsidR="00605FAA">
        <w:rPr>
          <w:snapToGrid w:val="0"/>
        </w:rPr>
        <w:t>conducting a</w:t>
      </w:r>
      <w:r w:rsidR="00FE2A3D">
        <w:rPr>
          <w:snapToGrid w:val="0"/>
        </w:rPr>
        <w:t xml:space="preserve"> Continuation Inquiry </w:t>
      </w:r>
      <w:r w:rsidR="00605FAA">
        <w:rPr>
          <w:snapToGrid w:val="0"/>
        </w:rPr>
        <w:t xml:space="preserve">into </w:t>
      </w:r>
      <w:r w:rsidR="00FE2A3D" w:rsidRPr="00FE2A3D">
        <w:rPr>
          <w:snapToGrid w:val="0"/>
        </w:rPr>
        <w:t xml:space="preserve">Hot rolled structural steel </w:t>
      </w:r>
      <w:r w:rsidR="00FE2A3D" w:rsidRPr="00FE2A3D">
        <w:t>sections</w:t>
      </w:r>
      <w:r w:rsidRPr="00FE2A3D">
        <w:t xml:space="preserve"> </w:t>
      </w:r>
      <w:r w:rsidR="00884389" w:rsidRPr="00FE2A3D">
        <w:t xml:space="preserve">(the goods) </w:t>
      </w:r>
      <w:r w:rsidRPr="00FE2A3D">
        <w:t xml:space="preserve">exported to Australia from </w:t>
      </w:r>
      <w:r w:rsidR="00FE2A3D" w:rsidRPr="00FE2A3D">
        <w:t xml:space="preserve">Japan, the Republic of Korea, Taiwan (except by Feng </w:t>
      </w:r>
      <w:proofErr w:type="spellStart"/>
      <w:r w:rsidR="00FE2A3D" w:rsidRPr="00FE2A3D">
        <w:t>Hsin</w:t>
      </w:r>
      <w:proofErr w:type="spellEnd"/>
      <w:r w:rsidR="00FE2A3D" w:rsidRPr="00FE2A3D">
        <w:t xml:space="preserve"> Steel Co Ltd, T S Steel Co., Ltd and Tung Ho Steel Enterprise Corporation) and the Kingdom of Thailand</w:t>
      </w:r>
      <w:r w:rsidR="00FE2A3D">
        <w:t xml:space="preserve">. </w:t>
      </w:r>
      <w:r w:rsidR="00162238">
        <w:t xml:space="preserve">The </w:t>
      </w:r>
      <w:r w:rsidR="00AE0CD8">
        <w:t>Anti-</w:t>
      </w:r>
      <w:r w:rsidR="00162238">
        <w:t xml:space="preserve">Dumping Notice </w:t>
      </w:r>
      <w:r w:rsidR="00162238" w:rsidRPr="00FE2A3D">
        <w:rPr>
          <w:b/>
        </w:rPr>
        <w:t xml:space="preserve">No </w:t>
      </w:r>
      <w:r w:rsidR="00FE2A3D" w:rsidRPr="00FE2A3D">
        <w:rPr>
          <w:b/>
        </w:rPr>
        <w:t>2023/082</w:t>
      </w:r>
      <w:r w:rsidR="00162238" w:rsidRPr="00FE2A3D">
        <w:rPr>
          <w:b/>
        </w:rPr>
        <w:t>, available</w:t>
      </w:r>
      <w:r w:rsidR="00162238" w:rsidRPr="00884389">
        <w:t xml:space="preserve"> on </w:t>
      </w:r>
      <w:r w:rsidR="00A165CB">
        <w:t>the commission</w:t>
      </w:r>
      <w:r w:rsidR="00162238" w:rsidRPr="00884389">
        <w:t>’s website,</w:t>
      </w:r>
      <w:r w:rsidR="00162238">
        <w:t xml:space="preserve"> provides details of the goods under consideration, the </w:t>
      </w:r>
      <w:proofErr w:type="gramStart"/>
      <w:r w:rsidR="00162238">
        <w:t>application</w:t>
      </w:r>
      <w:proofErr w:type="gramEnd"/>
      <w:r w:rsidR="00162238">
        <w:t xml:space="preserve">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5233614C" w:rsidR="00162238" w:rsidRPr="00196B09" w:rsidRDefault="00291B5D" w:rsidP="00162238">
      <w:pPr>
        <w:rPr>
          <w:snapToGrid w:val="0"/>
        </w:rPr>
      </w:pPr>
      <w:r>
        <w:t>The ADC will collect and use information in accordance with the ADC Collection and Use of Information Policy</w:t>
      </w:r>
    </w:p>
    <w:p w14:paraId="1A0681DC" w14:textId="77777777" w:rsidR="00FE025A" w:rsidRDefault="00FE025A" w:rsidP="00605FAA">
      <w:pPr>
        <w:rPr>
          <w:snapToGrid w:val="0"/>
        </w:rPr>
      </w:pPr>
    </w:p>
    <w:p w14:paraId="1A0681DD" w14:textId="51A1DCF4"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r w:rsidR="00EC787D">
        <w:rPr>
          <w:b/>
        </w:rPr>
        <w:t xml:space="preserve"> </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49A64E16"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r w:rsidR="00EC787D">
        <w:rPr>
          <w:b/>
        </w:rPr>
        <w:t xml:space="preserve"> </w:t>
      </w:r>
    </w:p>
    <w:p w14:paraId="1A0681E2" w14:textId="77777777" w:rsidR="00DD2C05" w:rsidRPr="00DD2C05" w:rsidRDefault="00DD2C05" w:rsidP="00DE0C5C"/>
    <w:p w14:paraId="1A0681E3" w14:textId="0C0E8CD8" w:rsidR="00423B5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margin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441EA0">
      <w:pPr>
        <w:pStyle w:val="ListParagraph"/>
        <w:numPr>
          <w:ilvl w:val="0"/>
          <w:numId w:val="31"/>
        </w:numPr>
        <w:rPr>
          <w:rFonts w:cs="Arial"/>
        </w:rPr>
      </w:pPr>
      <w:r>
        <w:rPr>
          <w:rFonts w:cs="Arial"/>
        </w:rPr>
        <w:t>the commission</w:t>
      </w:r>
      <w:r w:rsidR="000300F5">
        <w:rPr>
          <w:rFonts w:cs="Arial"/>
        </w:rPr>
        <w:t xml:space="preserve">’s responsibility to conduct the case in a timely and efficient </w:t>
      </w:r>
      <w:proofErr w:type="gramStart"/>
      <w:r w:rsidR="000300F5">
        <w:rPr>
          <w:rFonts w:cs="Arial"/>
        </w:rPr>
        <w:t>manner</w:t>
      </w:r>
      <w:proofErr w:type="gramEnd"/>
    </w:p>
    <w:p w14:paraId="1A0681EB" w14:textId="0D216A3B"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w:t>
      </w:r>
      <w:proofErr w:type="gramStart"/>
      <w:r w:rsidR="00DE0C5C" w:rsidRPr="008553F9">
        <w:rPr>
          <w:rFonts w:cs="Arial"/>
        </w:rPr>
        <w:t>date</w:t>
      </w:r>
      <w:proofErr w:type="gramEnd"/>
    </w:p>
    <w:p w14:paraId="1A0681EC" w14:textId="55F502F1"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2205B15C" w:rsidR="00DE0C5C" w:rsidRPr="008553F9" w:rsidRDefault="00A165CB" w:rsidP="00441EA0">
      <w:pPr>
        <w:pStyle w:val="ListParagraph"/>
        <w:numPr>
          <w:ilvl w:val="0"/>
          <w:numId w:val="31"/>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lastRenderedPageBreak/>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9" w14:textId="77777777" w:rsidR="00515B70" w:rsidRPr="00125B70" w:rsidRDefault="001E0F36" w:rsidP="00C01F98">
      <w:r w:rsidRPr="00C01F98">
        <w:rPr>
          <w:b/>
        </w:rPr>
        <w:t>V</w:t>
      </w:r>
      <w:r w:rsidR="00515B70" w:rsidRPr="00C01F98">
        <w:rPr>
          <w:b/>
        </w:rPr>
        <w:t xml:space="preserve">erification of the information that you </w:t>
      </w:r>
      <w:proofErr w:type="gramStart"/>
      <w:r w:rsidR="00515B70" w:rsidRPr="00C01F98">
        <w:rPr>
          <w:b/>
        </w:rPr>
        <w:t>supply</w:t>
      </w:r>
      <w:bookmarkEnd w:id="20"/>
      <w:bookmarkEnd w:id="21"/>
      <w:bookmarkEnd w:id="22"/>
      <w:bookmarkEnd w:id="23"/>
      <w:bookmarkEnd w:id="24"/>
      <w:proofErr w:type="gramEnd"/>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w:t>
      </w:r>
      <w:proofErr w:type="gramStart"/>
      <w:r w:rsidR="00423B52" w:rsidRPr="00423B52">
        <w:rPr>
          <w:snapToGrid w:val="0"/>
        </w:rPr>
        <w:t>sales</w:t>
      </w:r>
      <w:proofErr w:type="gramEnd"/>
      <w:r w:rsidR="00423B52" w:rsidRPr="00423B52">
        <w:rPr>
          <w:snapToGrid w:val="0"/>
        </w:rPr>
        <w:t xml:space="preserve"> and company accounts. It would be appreciated if all relevant company records requested, including import documentation, sales information, financial </w:t>
      </w:r>
      <w:proofErr w:type="gramStart"/>
      <w:r w:rsidR="00423B52" w:rsidRPr="00423B52">
        <w:rPr>
          <w:snapToGrid w:val="0"/>
        </w:rPr>
        <w:t>data</w:t>
      </w:r>
      <w:proofErr w:type="gramEnd"/>
      <w:r w:rsidR="00423B52" w:rsidRPr="00423B52">
        <w:rPr>
          <w:snapToGrid w:val="0"/>
        </w:rPr>
        <w:t xml:space="preserve">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1A068201" w14:textId="7B96AAAC" w:rsidR="00423B52" w:rsidRDefault="00423B52" w:rsidP="00423B52">
      <w:pPr>
        <w:rPr>
          <w:snapToGrid w:val="0"/>
        </w:rPr>
      </w:pPr>
      <w:r w:rsidRPr="00423B52">
        <w:rPr>
          <w:snapToGrid w:val="0"/>
        </w:rPr>
        <w:t xml:space="preserve">It is important that you fully understand the dumping </w:t>
      </w:r>
      <w:r w:rsidR="00FE2A3D" w:rsidRPr="00FE2A3D">
        <w:rPr>
          <w:snapToGrid w:val="0"/>
        </w:rPr>
        <w:t>continuation inquiry</w:t>
      </w:r>
      <w:r w:rsidRPr="00423B52">
        <w:rPr>
          <w:snapToGrid w:val="0"/>
        </w:rPr>
        <w:t xml:space="preserve"> process, and the role of </w:t>
      </w:r>
      <w:r w:rsidR="00A165CB">
        <w:rPr>
          <w:snapToGrid w:val="0"/>
        </w:rPr>
        <w:t>the commission</w:t>
      </w:r>
      <w:r w:rsidRPr="00423B52">
        <w:rPr>
          <w:snapToGrid w:val="0"/>
        </w:rPr>
        <w:t xml:space="preserve"> in car</w:t>
      </w:r>
      <w:r w:rsidR="0078078F">
        <w:rPr>
          <w:snapToGrid w:val="0"/>
        </w:rPr>
        <w:t xml:space="preserve">rying out the </w:t>
      </w:r>
      <w:r w:rsidR="00EC787D" w:rsidRPr="00FE2A3D">
        <w:rPr>
          <w:snapToGrid w:val="0"/>
        </w:rPr>
        <w:t>inquiry</w:t>
      </w:r>
      <w:r w:rsidR="0078078F">
        <w:rPr>
          <w:snapToGrid w:val="0"/>
        </w:rPr>
        <w:t>.</w:t>
      </w:r>
      <w:r w:rsidRPr="00423B52">
        <w:rPr>
          <w:snapToGrid w:val="0"/>
        </w:rPr>
        <w:t xml:space="preserve"> To this end, the proposed visit to your company will be useful for us to explain in detail the </w:t>
      </w:r>
      <w:r w:rsidR="00EC787D" w:rsidRPr="00FE2A3D">
        <w:rPr>
          <w:snapToGrid w:val="0"/>
        </w:rPr>
        <w:t>inquiry</w:t>
      </w:r>
      <w:r w:rsidR="00EC787D" w:rsidRPr="00423B52">
        <w:rPr>
          <w:snapToGrid w:val="0"/>
        </w:rPr>
        <w:t xml:space="preserve"> </w:t>
      </w:r>
      <w:r w:rsidRPr="00423B52">
        <w:rPr>
          <w:snapToGrid w:val="0"/>
        </w:rPr>
        <w:t>procedures and related issues.</w:t>
      </w:r>
    </w:p>
    <w:p w14:paraId="1A068202" w14:textId="77777777" w:rsidR="00423B52"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w:t>
      </w:r>
      <w:proofErr w:type="gramStart"/>
      <w:r w:rsidR="00515B70" w:rsidRPr="00C01F98">
        <w:rPr>
          <w:b/>
        </w:rPr>
        <w:t>response</w:t>
      </w:r>
      <w:bookmarkEnd w:id="25"/>
      <w:bookmarkEnd w:id="26"/>
      <w:bookmarkEnd w:id="27"/>
      <w:bookmarkEnd w:id="28"/>
      <w:bookmarkEnd w:id="29"/>
      <w:proofErr w:type="gramEnd"/>
    </w:p>
    <w:p w14:paraId="1A068206" w14:textId="77777777" w:rsidR="00515B70" w:rsidRDefault="00515B70" w:rsidP="00C01F98">
      <w:pPr>
        <w:rPr>
          <w:snapToGrid w:val="0"/>
        </w:rPr>
      </w:pPr>
    </w:p>
    <w:p w14:paraId="1A068207" w14:textId="3CD1C83B" w:rsidR="00C63312" w:rsidRDefault="000838CC" w:rsidP="00441EA0">
      <w:pPr>
        <w:pStyle w:val="ListParagraph"/>
        <w:numPr>
          <w:ilvl w:val="0"/>
          <w:numId w:val="32"/>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w:t>
      </w:r>
      <w:proofErr w:type="gramStart"/>
      <w:r w:rsidR="00F22E1D">
        <w:t>e.g.</w:t>
      </w:r>
      <w:proofErr w:type="gramEnd"/>
      <w:r w:rsidR="00F22E1D">
        <w:t xml:space="preserve">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w:t>
      </w:r>
      <w:proofErr w:type="gramStart"/>
      <w:r w:rsidR="00E017F4" w:rsidRPr="00F22E1D">
        <w:t>e.g.</w:t>
      </w:r>
      <w:proofErr w:type="gramEnd"/>
      <w:r w:rsidR="00E017F4" w:rsidRPr="00F22E1D">
        <w:t xml:space="preserve">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511433EB" w:rsidR="00ED2D77" w:rsidRDefault="00ED2D77" w:rsidP="00441EA0">
      <w:pPr>
        <w:pStyle w:val="ListParagraph"/>
        <w:numPr>
          <w:ilvl w:val="0"/>
          <w:numId w:val="32"/>
        </w:numPr>
        <w:ind w:left="360"/>
      </w:pPr>
      <w:r>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6B5B6AFC" w14:textId="77777777" w:rsidR="00ED2D77" w:rsidRDefault="00ED2D77" w:rsidP="00E22DC8">
      <w:pPr>
        <w:pStyle w:val="ListParagraph"/>
      </w:pPr>
    </w:p>
    <w:p w14:paraId="4F0C4DEF" w14:textId="4BF114B1" w:rsidR="00ED2D77" w:rsidRDefault="00ED2D77" w:rsidP="00ED2D77">
      <w:pPr>
        <w:pStyle w:val="ListParagraph"/>
        <w:numPr>
          <w:ilvl w:val="1"/>
          <w:numId w:val="32"/>
        </w:numPr>
      </w:pPr>
      <w:r>
        <w:t xml:space="preserve">Notify the </w:t>
      </w:r>
      <w:proofErr w:type="gramStart"/>
      <w:r>
        <w:t>commission</w:t>
      </w:r>
      <w:proofErr w:type="gramEnd"/>
    </w:p>
    <w:p w14:paraId="2C91EECE" w14:textId="7AB39527" w:rsidR="00ED2D77" w:rsidRDefault="00ED2D77" w:rsidP="00ED2D77">
      <w:pPr>
        <w:pStyle w:val="ListParagraph"/>
        <w:numPr>
          <w:ilvl w:val="1"/>
          <w:numId w:val="32"/>
        </w:numPr>
      </w:pPr>
      <w:r>
        <w:t>Delete the information from your system and</w:t>
      </w:r>
    </w:p>
    <w:p w14:paraId="07A5489D" w14:textId="295DDECF" w:rsidR="00ED2D77" w:rsidRDefault="00ED2D77">
      <w:pPr>
        <w:pStyle w:val="ListParagraph"/>
        <w:numPr>
          <w:ilvl w:val="1"/>
          <w:numId w:val="32"/>
        </w:numPr>
      </w:pPr>
      <w:r>
        <w:t xml:space="preserve">Refrain from </w:t>
      </w:r>
      <w:r w:rsidR="006A6B8F">
        <w:t>using,</w:t>
      </w:r>
      <w:r>
        <w:t xml:space="preserve"> sharing, or retaining the information in any way.</w:t>
      </w:r>
    </w:p>
    <w:p w14:paraId="5C1E6FB5" w14:textId="2367ABB8" w:rsidR="006A6B8F" w:rsidRDefault="006A6B8F" w:rsidP="006A6B8F"/>
    <w:p w14:paraId="265F2044" w14:textId="77777777" w:rsidR="006A6B8F" w:rsidRDefault="006A6B8F" w:rsidP="006A6B8F">
      <w:pPr>
        <w:rPr>
          <w:rFonts w:ascii="Garamond" w:hAnsi="Garamond"/>
          <w:b/>
          <w:sz w:val="24"/>
          <w:szCs w:val="24"/>
        </w:rPr>
      </w:pPr>
    </w:p>
    <w:p w14:paraId="5B337414" w14:textId="77777777" w:rsidR="006A6B8F" w:rsidRDefault="006A6B8F" w:rsidP="00E22DC8"/>
    <w:p w14:paraId="1A068218" w14:textId="77777777" w:rsidR="00C758F7" w:rsidRDefault="00C758F7" w:rsidP="00033ADB">
      <w:pPr>
        <w:pStyle w:val="Heading1"/>
      </w:pPr>
      <w:bookmarkStart w:id="30" w:name="_Toc506971813"/>
      <w:bookmarkStart w:id="31" w:name="_Toc508203805"/>
      <w:bookmarkStart w:id="32" w:name="_Toc508290339"/>
      <w:bookmarkStart w:id="33" w:name="_Toc515637623"/>
      <w:bookmarkStart w:id="34" w:name="_Toc104457342"/>
      <w:r>
        <w:lastRenderedPageBreak/>
        <w:t>Goods under consideration</w:t>
      </w:r>
      <w:bookmarkEnd w:id="30"/>
      <w:bookmarkEnd w:id="31"/>
      <w:bookmarkEnd w:id="32"/>
      <w:bookmarkEnd w:id="33"/>
      <w:r w:rsidR="00D97DCB">
        <w:t xml:space="preserve"> / Goods subject to Anti-dumping measures</w:t>
      </w:r>
      <w:bookmarkEnd w:id="34"/>
    </w:p>
    <w:p w14:paraId="1A068219" w14:textId="77777777" w:rsidR="00C758F7" w:rsidRDefault="00C758F7" w:rsidP="00C758F7">
      <w:pPr>
        <w:widowControl w:val="0"/>
        <w:rPr>
          <w:snapToGrid w:val="0"/>
        </w:rPr>
      </w:pPr>
    </w:p>
    <w:p w14:paraId="1A06821C" w14:textId="0880B27B" w:rsidR="00D97DCB" w:rsidRPr="00D97DCB" w:rsidRDefault="00D97DCB" w:rsidP="00C01F98">
      <w:pPr>
        <w:rPr>
          <w:snapToGrid w:val="0"/>
        </w:rPr>
      </w:pPr>
      <w:r w:rsidRPr="00D97DCB">
        <w:rPr>
          <w:snapToGrid w:val="0"/>
        </w:rPr>
        <w:t xml:space="preserve">The goods subject to </w:t>
      </w:r>
      <w:proofErr w:type="spellStart"/>
      <w:r w:rsidRPr="00D97DCB">
        <w:rPr>
          <w:snapToGrid w:val="0"/>
        </w:rPr>
        <w:t>anti-dumping</w:t>
      </w:r>
      <w:proofErr w:type="spellEnd"/>
      <w:r w:rsidRPr="00D97DCB">
        <w:rPr>
          <w:snapToGrid w:val="0"/>
        </w:rPr>
        <w:t xml:space="preserve"> measures (the goods) are:</w:t>
      </w:r>
    </w:p>
    <w:p w14:paraId="1A06821D" w14:textId="77777777" w:rsidR="00D97DCB" w:rsidRDefault="00D97DCB" w:rsidP="00C01F98">
      <w:pPr>
        <w:rPr>
          <w:snapToGrid w:val="0"/>
          <w:highlight w:val="yellow"/>
        </w:rPr>
      </w:pPr>
    </w:p>
    <w:p w14:paraId="1A06821F" w14:textId="1FFEEF44" w:rsidR="00603E09" w:rsidRPr="00C01F98" w:rsidRDefault="00FE2A3D" w:rsidP="00C01F98">
      <w:pPr>
        <w:rPr>
          <w:snapToGrid w:val="0"/>
        </w:rPr>
      </w:pPr>
      <w:r w:rsidRPr="008D4524">
        <w:rPr>
          <w:snapToGrid w:val="0"/>
          <w:sz w:val="28"/>
        </w:rPr>
        <w:t>Hot rolled structural steel sections</w:t>
      </w:r>
    </w:p>
    <w:p w14:paraId="1A068220" w14:textId="77777777" w:rsidR="00603E09" w:rsidRPr="00C01F98" w:rsidRDefault="00603E09" w:rsidP="00C01F98">
      <w:pPr>
        <w:rPr>
          <w:snapToGrid w:val="0"/>
        </w:rPr>
      </w:pPr>
    </w:p>
    <w:p w14:paraId="1A068221"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45A32300" w:rsidR="00603E09" w:rsidRDefault="00603E09" w:rsidP="00C01F98">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rsidR="00A165CB">
        <w:t>the commission</w:t>
      </w:r>
      <w:r w:rsidRPr="00324501">
        <w:t>.</w:t>
      </w:r>
    </w:p>
    <w:p w14:paraId="1E829124" w14:textId="7248489C" w:rsidR="00FE2A3D" w:rsidRDefault="00FE2A3D" w:rsidP="00C01F98"/>
    <w:tbl>
      <w:tblPr>
        <w:tblStyle w:val="TableGrid"/>
        <w:tblW w:w="9509" w:type="dxa"/>
        <w:jc w:val="center"/>
        <w:tblLayout w:type="fixed"/>
        <w:tblCellMar>
          <w:left w:w="85" w:type="dxa"/>
          <w:right w:w="85" w:type="dxa"/>
        </w:tblCellMar>
        <w:tblLook w:val="04A0" w:firstRow="1" w:lastRow="0" w:firstColumn="1" w:lastColumn="0" w:noHBand="0" w:noVBand="1"/>
      </w:tblPr>
      <w:tblGrid>
        <w:gridCol w:w="1271"/>
        <w:gridCol w:w="4683"/>
        <w:gridCol w:w="1134"/>
        <w:gridCol w:w="1276"/>
        <w:gridCol w:w="1145"/>
      </w:tblGrid>
      <w:tr w:rsidR="00FE2A3D" w:rsidRPr="00092EEB" w14:paraId="65886EF3" w14:textId="77777777" w:rsidTr="001E747A">
        <w:trPr>
          <w:jc w:val="center"/>
        </w:trPr>
        <w:tc>
          <w:tcPr>
            <w:tcW w:w="1271" w:type="dxa"/>
            <w:shd w:val="clear" w:color="auto" w:fill="D9D9D9" w:themeFill="background1" w:themeFillShade="D9"/>
            <w:vAlign w:val="center"/>
          </w:tcPr>
          <w:p w14:paraId="2954FBC0" w14:textId="77777777" w:rsidR="00FE2A3D" w:rsidRPr="00092EEB" w:rsidRDefault="00FE2A3D" w:rsidP="001E747A">
            <w:pPr>
              <w:pStyle w:val="Header"/>
              <w:spacing w:before="60" w:after="60"/>
              <w:jc w:val="center"/>
              <w:rPr>
                <w:rFonts w:cs="Arial"/>
                <w:b/>
              </w:rPr>
            </w:pPr>
            <w:r w:rsidRPr="00092EEB">
              <w:rPr>
                <w:rFonts w:cs="Arial"/>
                <w:b/>
              </w:rPr>
              <w:t>Category</w:t>
            </w:r>
          </w:p>
        </w:tc>
        <w:tc>
          <w:tcPr>
            <w:tcW w:w="4683" w:type="dxa"/>
            <w:shd w:val="clear" w:color="auto" w:fill="D9D9D9" w:themeFill="background1" w:themeFillShade="D9"/>
            <w:vAlign w:val="center"/>
          </w:tcPr>
          <w:p w14:paraId="3C4ABDBB" w14:textId="77777777" w:rsidR="00FE2A3D" w:rsidRPr="00092EEB" w:rsidRDefault="00FE2A3D" w:rsidP="001E747A">
            <w:pPr>
              <w:pStyle w:val="Header"/>
              <w:spacing w:before="60" w:after="60"/>
              <w:ind w:left="-392" w:firstLine="392"/>
              <w:jc w:val="center"/>
              <w:rPr>
                <w:rFonts w:cs="Arial"/>
                <w:b/>
              </w:rPr>
            </w:pPr>
            <w:r w:rsidRPr="00092EEB">
              <w:rPr>
                <w:rFonts w:cs="Arial"/>
                <w:b/>
              </w:rPr>
              <w:t>Sub-category</w:t>
            </w:r>
          </w:p>
        </w:tc>
        <w:tc>
          <w:tcPr>
            <w:tcW w:w="1134" w:type="dxa"/>
            <w:shd w:val="clear" w:color="auto" w:fill="D9D9D9" w:themeFill="background1" w:themeFillShade="D9"/>
            <w:vAlign w:val="center"/>
          </w:tcPr>
          <w:p w14:paraId="1A5D85A1" w14:textId="77777777" w:rsidR="00FE2A3D" w:rsidRPr="00092EEB" w:rsidRDefault="00FE2A3D" w:rsidP="001E747A">
            <w:pPr>
              <w:pStyle w:val="Header"/>
              <w:spacing w:before="60" w:after="60"/>
              <w:ind w:left="34"/>
              <w:jc w:val="center"/>
              <w:rPr>
                <w:rFonts w:cs="Arial"/>
                <w:b/>
              </w:rPr>
            </w:pPr>
            <w:r w:rsidRPr="00092EEB">
              <w:rPr>
                <w:rFonts w:cs="Arial"/>
                <w:b/>
              </w:rPr>
              <w:t>Identifier</w:t>
            </w:r>
          </w:p>
        </w:tc>
        <w:tc>
          <w:tcPr>
            <w:tcW w:w="1276" w:type="dxa"/>
            <w:shd w:val="clear" w:color="auto" w:fill="D9D9D9" w:themeFill="background1" w:themeFillShade="D9"/>
            <w:vAlign w:val="center"/>
          </w:tcPr>
          <w:p w14:paraId="10DC2B09" w14:textId="77777777" w:rsidR="00FE2A3D" w:rsidRPr="00092EEB" w:rsidRDefault="00FE2A3D" w:rsidP="001E747A">
            <w:pPr>
              <w:pStyle w:val="Header"/>
              <w:spacing w:before="60" w:after="60"/>
              <w:jc w:val="center"/>
              <w:rPr>
                <w:rFonts w:cs="Arial"/>
                <w:b/>
              </w:rPr>
            </w:pPr>
            <w:r w:rsidRPr="00092EEB">
              <w:rPr>
                <w:rFonts w:cs="Arial"/>
                <w:b/>
              </w:rPr>
              <w:t>Sales data</w:t>
            </w:r>
          </w:p>
        </w:tc>
        <w:tc>
          <w:tcPr>
            <w:tcW w:w="1145" w:type="dxa"/>
            <w:shd w:val="clear" w:color="auto" w:fill="D9D9D9" w:themeFill="background1" w:themeFillShade="D9"/>
            <w:vAlign w:val="center"/>
          </w:tcPr>
          <w:p w14:paraId="696BBEED" w14:textId="77777777" w:rsidR="00FE2A3D" w:rsidRPr="00092EEB" w:rsidRDefault="00FE2A3D" w:rsidP="001E747A">
            <w:pPr>
              <w:pStyle w:val="Header"/>
              <w:spacing w:before="60" w:after="60"/>
              <w:jc w:val="center"/>
              <w:rPr>
                <w:rFonts w:cs="Arial"/>
                <w:b/>
              </w:rPr>
            </w:pPr>
            <w:r w:rsidRPr="00092EEB">
              <w:rPr>
                <w:rFonts w:cs="Arial"/>
                <w:b/>
              </w:rPr>
              <w:t>Cost data</w:t>
            </w:r>
          </w:p>
        </w:tc>
      </w:tr>
      <w:tr w:rsidR="00FE2A3D" w:rsidRPr="00092EEB" w14:paraId="3FF22163" w14:textId="77777777" w:rsidTr="001E747A">
        <w:trPr>
          <w:trHeight w:val="334"/>
          <w:jc w:val="center"/>
        </w:trPr>
        <w:tc>
          <w:tcPr>
            <w:tcW w:w="1271" w:type="dxa"/>
            <w:vMerge w:val="restart"/>
            <w:shd w:val="clear" w:color="auto" w:fill="auto"/>
            <w:vAlign w:val="center"/>
          </w:tcPr>
          <w:p w14:paraId="3E154CD9" w14:textId="77777777" w:rsidR="00FE2A3D" w:rsidRPr="00092EEB" w:rsidRDefault="00FE2A3D" w:rsidP="001E747A">
            <w:pPr>
              <w:pStyle w:val="Header"/>
              <w:spacing w:before="60" w:after="60"/>
              <w:jc w:val="center"/>
              <w:rPr>
                <w:rFonts w:cs="Arial"/>
              </w:rPr>
            </w:pPr>
            <w:r w:rsidRPr="00092EEB">
              <w:rPr>
                <w:rFonts w:cs="Arial"/>
              </w:rPr>
              <w:t>Prime</w:t>
            </w:r>
          </w:p>
        </w:tc>
        <w:tc>
          <w:tcPr>
            <w:tcW w:w="4683" w:type="dxa"/>
            <w:shd w:val="clear" w:color="auto" w:fill="auto"/>
            <w:vAlign w:val="center"/>
          </w:tcPr>
          <w:p w14:paraId="5232023D" w14:textId="77777777" w:rsidR="00FE2A3D" w:rsidRPr="00092EEB" w:rsidRDefault="00FE2A3D" w:rsidP="001E747A">
            <w:pPr>
              <w:pStyle w:val="Header"/>
              <w:spacing w:before="60" w:after="60"/>
              <w:ind w:left="34"/>
              <w:rPr>
                <w:rFonts w:cs="Arial"/>
              </w:rPr>
            </w:pPr>
            <w:r w:rsidRPr="00092EEB">
              <w:rPr>
                <w:rFonts w:cs="Arial"/>
              </w:rPr>
              <w:t>Prime</w:t>
            </w:r>
          </w:p>
        </w:tc>
        <w:tc>
          <w:tcPr>
            <w:tcW w:w="1134" w:type="dxa"/>
            <w:shd w:val="clear" w:color="auto" w:fill="auto"/>
            <w:vAlign w:val="center"/>
          </w:tcPr>
          <w:p w14:paraId="638CBD18" w14:textId="77777777" w:rsidR="00FE2A3D" w:rsidRPr="00092EEB" w:rsidRDefault="00FE2A3D" w:rsidP="001E747A">
            <w:pPr>
              <w:pStyle w:val="Header"/>
              <w:spacing w:before="60" w:after="60"/>
              <w:ind w:left="34"/>
              <w:jc w:val="center"/>
              <w:rPr>
                <w:rFonts w:cs="Arial"/>
              </w:rPr>
            </w:pPr>
            <w:r w:rsidRPr="00092EEB">
              <w:rPr>
                <w:rFonts w:cs="Arial"/>
              </w:rPr>
              <w:t>P</w:t>
            </w:r>
          </w:p>
        </w:tc>
        <w:tc>
          <w:tcPr>
            <w:tcW w:w="1276" w:type="dxa"/>
            <w:vMerge w:val="restart"/>
            <w:shd w:val="clear" w:color="auto" w:fill="auto"/>
            <w:vAlign w:val="center"/>
          </w:tcPr>
          <w:p w14:paraId="293F20E1" w14:textId="77777777" w:rsidR="00FE2A3D" w:rsidRPr="00092EEB" w:rsidRDefault="00FE2A3D" w:rsidP="001E747A">
            <w:pPr>
              <w:pStyle w:val="Header"/>
              <w:spacing w:before="60" w:after="60"/>
              <w:jc w:val="center"/>
              <w:rPr>
                <w:rFonts w:cs="Arial"/>
                <w:bCs/>
              </w:rPr>
            </w:pPr>
            <w:r w:rsidRPr="00092EEB">
              <w:rPr>
                <w:rFonts w:cs="Arial"/>
                <w:bCs/>
              </w:rPr>
              <w:t>Mandatory</w:t>
            </w:r>
          </w:p>
        </w:tc>
        <w:tc>
          <w:tcPr>
            <w:tcW w:w="1145" w:type="dxa"/>
            <w:vMerge w:val="restart"/>
            <w:shd w:val="clear" w:color="auto" w:fill="auto"/>
            <w:vAlign w:val="center"/>
          </w:tcPr>
          <w:p w14:paraId="75DD2570" w14:textId="77777777" w:rsidR="00FE2A3D" w:rsidRPr="00092EEB" w:rsidRDefault="00FE2A3D" w:rsidP="001E747A">
            <w:pPr>
              <w:pStyle w:val="Header"/>
              <w:spacing w:before="60" w:after="60"/>
              <w:jc w:val="center"/>
              <w:rPr>
                <w:rFonts w:cs="Arial"/>
                <w:bCs/>
              </w:rPr>
            </w:pPr>
            <w:r w:rsidRPr="00092EEB">
              <w:rPr>
                <w:rFonts w:cs="Arial"/>
                <w:bCs/>
              </w:rPr>
              <w:t>Not applicable</w:t>
            </w:r>
          </w:p>
        </w:tc>
      </w:tr>
      <w:tr w:rsidR="00FE2A3D" w:rsidRPr="00092EEB" w14:paraId="45767D01" w14:textId="77777777" w:rsidTr="001E747A">
        <w:trPr>
          <w:trHeight w:val="334"/>
          <w:jc w:val="center"/>
        </w:trPr>
        <w:tc>
          <w:tcPr>
            <w:tcW w:w="1271" w:type="dxa"/>
            <w:vMerge/>
            <w:shd w:val="clear" w:color="auto" w:fill="auto"/>
            <w:vAlign w:val="center"/>
          </w:tcPr>
          <w:p w14:paraId="46F7BBCA" w14:textId="77777777" w:rsidR="00FE2A3D" w:rsidRPr="00092EEB" w:rsidRDefault="00FE2A3D" w:rsidP="001E747A">
            <w:pPr>
              <w:pStyle w:val="Header"/>
              <w:spacing w:before="60" w:after="60"/>
              <w:jc w:val="center"/>
              <w:rPr>
                <w:rFonts w:cs="Arial"/>
              </w:rPr>
            </w:pPr>
          </w:p>
        </w:tc>
        <w:tc>
          <w:tcPr>
            <w:tcW w:w="4683" w:type="dxa"/>
            <w:shd w:val="clear" w:color="auto" w:fill="auto"/>
            <w:vAlign w:val="center"/>
          </w:tcPr>
          <w:p w14:paraId="28EC12A5" w14:textId="77777777" w:rsidR="00FE2A3D" w:rsidRPr="00092EEB" w:rsidRDefault="00FE2A3D" w:rsidP="001E747A">
            <w:pPr>
              <w:pStyle w:val="Header"/>
              <w:spacing w:before="60" w:after="60"/>
              <w:ind w:left="34"/>
              <w:rPr>
                <w:rFonts w:cs="Arial"/>
              </w:rPr>
            </w:pPr>
            <w:r w:rsidRPr="00092EEB">
              <w:rPr>
                <w:rFonts w:cs="Arial"/>
              </w:rPr>
              <w:t>Non-prime</w:t>
            </w:r>
          </w:p>
        </w:tc>
        <w:tc>
          <w:tcPr>
            <w:tcW w:w="1134" w:type="dxa"/>
            <w:shd w:val="clear" w:color="auto" w:fill="auto"/>
            <w:vAlign w:val="center"/>
          </w:tcPr>
          <w:p w14:paraId="03940AC1" w14:textId="77777777" w:rsidR="00FE2A3D" w:rsidRPr="00092EEB" w:rsidRDefault="00FE2A3D" w:rsidP="001E747A">
            <w:pPr>
              <w:pStyle w:val="Header"/>
              <w:spacing w:before="60" w:after="60"/>
              <w:ind w:left="34"/>
              <w:jc w:val="center"/>
              <w:rPr>
                <w:rFonts w:cs="Arial"/>
              </w:rPr>
            </w:pPr>
            <w:r w:rsidRPr="00092EEB">
              <w:rPr>
                <w:rFonts w:cs="Arial"/>
              </w:rPr>
              <w:t>N</w:t>
            </w:r>
          </w:p>
        </w:tc>
        <w:tc>
          <w:tcPr>
            <w:tcW w:w="1276" w:type="dxa"/>
            <w:vMerge/>
            <w:shd w:val="clear" w:color="auto" w:fill="auto"/>
            <w:vAlign w:val="center"/>
          </w:tcPr>
          <w:p w14:paraId="616D342D" w14:textId="77777777" w:rsidR="00FE2A3D" w:rsidRPr="00092EEB" w:rsidRDefault="00FE2A3D" w:rsidP="001E747A">
            <w:pPr>
              <w:pStyle w:val="Header"/>
              <w:spacing w:before="60" w:after="60"/>
              <w:jc w:val="center"/>
              <w:rPr>
                <w:rFonts w:cs="Arial"/>
                <w:bCs/>
              </w:rPr>
            </w:pPr>
          </w:p>
        </w:tc>
        <w:tc>
          <w:tcPr>
            <w:tcW w:w="1145" w:type="dxa"/>
            <w:vMerge/>
            <w:shd w:val="clear" w:color="auto" w:fill="auto"/>
            <w:vAlign w:val="center"/>
          </w:tcPr>
          <w:p w14:paraId="357786AD" w14:textId="77777777" w:rsidR="00FE2A3D" w:rsidRPr="00092EEB" w:rsidRDefault="00FE2A3D" w:rsidP="001E747A">
            <w:pPr>
              <w:pStyle w:val="Header"/>
              <w:spacing w:before="60" w:after="60"/>
              <w:jc w:val="center"/>
              <w:rPr>
                <w:rFonts w:cs="Arial"/>
                <w:bCs/>
              </w:rPr>
            </w:pPr>
          </w:p>
        </w:tc>
      </w:tr>
      <w:tr w:rsidR="00FE2A3D" w:rsidRPr="00092EEB" w14:paraId="70A2BE93" w14:textId="77777777" w:rsidTr="001E747A">
        <w:trPr>
          <w:trHeight w:val="334"/>
          <w:jc w:val="center"/>
        </w:trPr>
        <w:tc>
          <w:tcPr>
            <w:tcW w:w="1271" w:type="dxa"/>
            <w:vMerge w:val="restart"/>
            <w:shd w:val="clear" w:color="auto" w:fill="DEEAF6" w:themeFill="accent1" w:themeFillTint="33"/>
            <w:vAlign w:val="center"/>
          </w:tcPr>
          <w:p w14:paraId="6DA66740" w14:textId="77777777" w:rsidR="00FE2A3D" w:rsidRPr="00092EEB" w:rsidRDefault="00FE2A3D" w:rsidP="001E747A">
            <w:pPr>
              <w:pStyle w:val="Header"/>
              <w:spacing w:before="60" w:after="60"/>
              <w:jc w:val="center"/>
              <w:rPr>
                <w:rFonts w:cs="Arial"/>
              </w:rPr>
            </w:pPr>
            <w:r w:rsidRPr="00092EEB">
              <w:rPr>
                <w:rFonts w:cs="Arial"/>
              </w:rPr>
              <w:t>Shape</w:t>
            </w:r>
          </w:p>
        </w:tc>
        <w:tc>
          <w:tcPr>
            <w:tcW w:w="4683" w:type="dxa"/>
            <w:shd w:val="clear" w:color="auto" w:fill="DEEAF6" w:themeFill="accent1" w:themeFillTint="33"/>
            <w:vAlign w:val="center"/>
          </w:tcPr>
          <w:p w14:paraId="23D404ED" w14:textId="77777777" w:rsidR="00FE2A3D" w:rsidRPr="00092EEB" w:rsidRDefault="00FE2A3D" w:rsidP="001E747A">
            <w:pPr>
              <w:pStyle w:val="Header"/>
              <w:spacing w:before="60" w:after="60"/>
              <w:ind w:left="34"/>
              <w:rPr>
                <w:rFonts w:cs="Arial"/>
              </w:rPr>
            </w:pPr>
            <w:r w:rsidRPr="00092EEB">
              <w:rPr>
                <w:rFonts w:cs="Arial"/>
              </w:rPr>
              <w:t>Universal Beams (‘I’ sections)</w:t>
            </w:r>
          </w:p>
        </w:tc>
        <w:tc>
          <w:tcPr>
            <w:tcW w:w="1134" w:type="dxa"/>
            <w:shd w:val="clear" w:color="auto" w:fill="DEEAF6" w:themeFill="accent1" w:themeFillTint="33"/>
            <w:vAlign w:val="center"/>
          </w:tcPr>
          <w:p w14:paraId="17CDC98C" w14:textId="77777777" w:rsidR="00FE2A3D" w:rsidRPr="00092EEB" w:rsidRDefault="00FE2A3D" w:rsidP="001E747A">
            <w:pPr>
              <w:pStyle w:val="Header"/>
              <w:spacing w:before="60" w:after="60"/>
              <w:ind w:left="34"/>
              <w:jc w:val="center"/>
              <w:rPr>
                <w:rFonts w:cs="Arial"/>
              </w:rPr>
            </w:pPr>
            <w:r w:rsidRPr="00092EEB">
              <w:rPr>
                <w:rFonts w:cs="Arial"/>
              </w:rPr>
              <w:t>I</w:t>
            </w:r>
          </w:p>
        </w:tc>
        <w:tc>
          <w:tcPr>
            <w:tcW w:w="1276" w:type="dxa"/>
            <w:vMerge w:val="restart"/>
            <w:shd w:val="clear" w:color="auto" w:fill="DEEAF6" w:themeFill="accent1" w:themeFillTint="33"/>
            <w:vAlign w:val="center"/>
          </w:tcPr>
          <w:p w14:paraId="4CB9C458" w14:textId="77777777" w:rsidR="00FE2A3D" w:rsidRPr="00092EEB" w:rsidRDefault="00FE2A3D" w:rsidP="001E747A">
            <w:pPr>
              <w:pStyle w:val="Header"/>
              <w:spacing w:before="60" w:after="60"/>
              <w:jc w:val="center"/>
              <w:rPr>
                <w:rFonts w:cs="Arial"/>
                <w:bCs/>
              </w:rPr>
            </w:pPr>
            <w:r w:rsidRPr="00092EEB">
              <w:rPr>
                <w:rFonts w:cs="Arial"/>
                <w:bCs/>
              </w:rPr>
              <w:t>Mandatory</w:t>
            </w:r>
          </w:p>
        </w:tc>
        <w:tc>
          <w:tcPr>
            <w:tcW w:w="1145" w:type="dxa"/>
            <w:vMerge w:val="restart"/>
            <w:shd w:val="clear" w:color="auto" w:fill="DEEAF6" w:themeFill="accent1" w:themeFillTint="33"/>
            <w:vAlign w:val="center"/>
          </w:tcPr>
          <w:p w14:paraId="0DAE3E8F" w14:textId="77777777" w:rsidR="00FE2A3D" w:rsidRPr="00092EEB" w:rsidRDefault="00FE2A3D" w:rsidP="001E747A">
            <w:pPr>
              <w:pStyle w:val="Header"/>
              <w:spacing w:before="60" w:after="60"/>
              <w:jc w:val="center"/>
              <w:rPr>
                <w:rFonts w:cs="Arial"/>
                <w:bCs/>
              </w:rPr>
            </w:pPr>
            <w:r w:rsidRPr="00092EEB">
              <w:rPr>
                <w:rFonts w:cs="Arial"/>
                <w:bCs/>
              </w:rPr>
              <w:t>Mandatory</w:t>
            </w:r>
          </w:p>
        </w:tc>
      </w:tr>
      <w:tr w:rsidR="00FE2A3D" w:rsidRPr="00092EEB" w14:paraId="43C4F519" w14:textId="77777777" w:rsidTr="001E747A">
        <w:trPr>
          <w:trHeight w:val="335"/>
          <w:jc w:val="center"/>
        </w:trPr>
        <w:tc>
          <w:tcPr>
            <w:tcW w:w="1271" w:type="dxa"/>
            <w:vMerge/>
            <w:shd w:val="clear" w:color="auto" w:fill="DEEAF6" w:themeFill="accent1" w:themeFillTint="33"/>
            <w:vAlign w:val="center"/>
          </w:tcPr>
          <w:p w14:paraId="2E760A4F" w14:textId="77777777" w:rsidR="00FE2A3D" w:rsidRPr="00092EEB" w:rsidRDefault="00FE2A3D" w:rsidP="001E747A">
            <w:pPr>
              <w:pStyle w:val="Header"/>
              <w:spacing w:before="60" w:after="60"/>
              <w:jc w:val="center"/>
              <w:rPr>
                <w:rFonts w:cs="Arial"/>
              </w:rPr>
            </w:pPr>
          </w:p>
        </w:tc>
        <w:tc>
          <w:tcPr>
            <w:tcW w:w="4683" w:type="dxa"/>
            <w:shd w:val="clear" w:color="auto" w:fill="DEEAF6" w:themeFill="accent1" w:themeFillTint="33"/>
            <w:vAlign w:val="center"/>
          </w:tcPr>
          <w:p w14:paraId="01764AC0" w14:textId="77777777" w:rsidR="00FE2A3D" w:rsidRPr="00092EEB" w:rsidRDefault="00FE2A3D" w:rsidP="001E747A">
            <w:pPr>
              <w:pStyle w:val="Header"/>
              <w:spacing w:before="60" w:after="60"/>
              <w:ind w:left="34"/>
              <w:rPr>
                <w:rFonts w:cs="Arial"/>
              </w:rPr>
            </w:pPr>
            <w:r w:rsidRPr="00092EEB">
              <w:rPr>
                <w:rFonts w:cs="Arial"/>
              </w:rPr>
              <w:t>Universal Columns and Universal Bearing Piles (‘H’ sections)</w:t>
            </w:r>
          </w:p>
        </w:tc>
        <w:tc>
          <w:tcPr>
            <w:tcW w:w="1134" w:type="dxa"/>
            <w:shd w:val="clear" w:color="auto" w:fill="DEEAF6" w:themeFill="accent1" w:themeFillTint="33"/>
            <w:vAlign w:val="center"/>
          </w:tcPr>
          <w:p w14:paraId="321E5741" w14:textId="77777777" w:rsidR="00FE2A3D" w:rsidRPr="00092EEB" w:rsidRDefault="00FE2A3D" w:rsidP="001E747A">
            <w:pPr>
              <w:pStyle w:val="Header"/>
              <w:spacing w:before="60" w:after="60"/>
              <w:ind w:left="34"/>
              <w:jc w:val="center"/>
              <w:rPr>
                <w:rFonts w:cs="Arial"/>
              </w:rPr>
            </w:pPr>
            <w:r w:rsidRPr="00092EEB">
              <w:rPr>
                <w:rFonts w:cs="Arial"/>
              </w:rPr>
              <w:t>H</w:t>
            </w:r>
          </w:p>
        </w:tc>
        <w:tc>
          <w:tcPr>
            <w:tcW w:w="1276" w:type="dxa"/>
            <w:vMerge/>
            <w:shd w:val="clear" w:color="auto" w:fill="DEEAF6" w:themeFill="accent1" w:themeFillTint="33"/>
            <w:vAlign w:val="center"/>
          </w:tcPr>
          <w:p w14:paraId="51063899" w14:textId="77777777" w:rsidR="00FE2A3D" w:rsidRPr="00092EEB" w:rsidRDefault="00FE2A3D" w:rsidP="001E747A">
            <w:pPr>
              <w:pStyle w:val="Header"/>
              <w:spacing w:before="60" w:after="60"/>
              <w:jc w:val="center"/>
              <w:rPr>
                <w:rFonts w:cs="Arial"/>
                <w:bCs/>
              </w:rPr>
            </w:pPr>
          </w:p>
        </w:tc>
        <w:tc>
          <w:tcPr>
            <w:tcW w:w="1145" w:type="dxa"/>
            <w:vMerge/>
            <w:shd w:val="clear" w:color="auto" w:fill="DEEAF6" w:themeFill="accent1" w:themeFillTint="33"/>
            <w:vAlign w:val="center"/>
          </w:tcPr>
          <w:p w14:paraId="76B61EB5" w14:textId="77777777" w:rsidR="00FE2A3D" w:rsidRPr="00092EEB" w:rsidRDefault="00FE2A3D" w:rsidP="001E747A">
            <w:pPr>
              <w:pStyle w:val="Header"/>
              <w:spacing w:before="60" w:after="60"/>
              <w:jc w:val="center"/>
              <w:rPr>
                <w:rFonts w:cs="Arial"/>
                <w:bCs/>
              </w:rPr>
            </w:pPr>
          </w:p>
        </w:tc>
      </w:tr>
      <w:tr w:rsidR="00FE2A3D" w:rsidRPr="00092EEB" w14:paraId="1D5EB061" w14:textId="77777777" w:rsidTr="001E747A">
        <w:trPr>
          <w:trHeight w:val="335"/>
          <w:jc w:val="center"/>
        </w:trPr>
        <w:tc>
          <w:tcPr>
            <w:tcW w:w="1271" w:type="dxa"/>
            <w:vMerge/>
            <w:shd w:val="clear" w:color="auto" w:fill="DEEAF6" w:themeFill="accent1" w:themeFillTint="33"/>
            <w:vAlign w:val="center"/>
          </w:tcPr>
          <w:p w14:paraId="75FB96EC" w14:textId="77777777" w:rsidR="00FE2A3D" w:rsidRPr="00092EEB" w:rsidRDefault="00FE2A3D" w:rsidP="001E747A">
            <w:pPr>
              <w:pStyle w:val="Header"/>
              <w:spacing w:before="60" w:after="60"/>
              <w:jc w:val="center"/>
              <w:rPr>
                <w:rFonts w:cs="Arial"/>
              </w:rPr>
            </w:pPr>
          </w:p>
        </w:tc>
        <w:tc>
          <w:tcPr>
            <w:tcW w:w="4683" w:type="dxa"/>
            <w:shd w:val="clear" w:color="auto" w:fill="DEEAF6" w:themeFill="accent1" w:themeFillTint="33"/>
            <w:vAlign w:val="center"/>
          </w:tcPr>
          <w:p w14:paraId="4FD9C994" w14:textId="77777777" w:rsidR="00FE2A3D" w:rsidRPr="00092EEB" w:rsidRDefault="00FE2A3D" w:rsidP="001E747A">
            <w:pPr>
              <w:pStyle w:val="Header"/>
              <w:spacing w:before="60" w:after="60"/>
              <w:ind w:left="34"/>
              <w:rPr>
                <w:rFonts w:cs="Arial"/>
              </w:rPr>
            </w:pPr>
            <w:r w:rsidRPr="00092EEB">
              <w:rPr>
                <w:rFonts w:cs="Arial"/>
              </w:rPr>
              <w:t>Channels (‘U’ or ‘C’ sections)</w:t>
            </w:r>
          </w:p>
        </w:tc>
        <w:tc>
          <w:tcPr>
            <w:tcW w:w="1134" w:type="dxa"/>
            <w:shd w:val="clear" w:color="auto" w:fill="DEEAF6" w:themeFill="accent1" w:themeFillTint="33"/>
            <w:vAlign w:val="center"/>
          </w:tcPr>
          <w:p w14:paraId="711717B1" w14:textId="77777777" w:rsidR="00FE2A3D" w:rsidRPr="00092EEB" w:rsidRDefault="00FE2A3D" w:rsidP="001E747A">
            <w:pPr>
              <w:pStyle w:val="Header"/>
              <w:spacing w:before="60" w:after="60"/>
              <w:ind w:left="34"/>
              <w:jc w:val="center"/>
              <w:rPr>
                <w:rFonts w:cs="Arial"/>
              </w:rPr>
            </w:pPr>
            <w:r w:rsidRPr="00092EEB">
              <w:rPr>
                <w:rFonts w:cs="Arial"/>
              </w:rPr>
              <w:t>C</w:t>
            </w:r>
          </w:p>
        </w:tc>
        <w:tc>
          <w:tcPr>
            <w:tcW w:w="1276" w:type="dxa"/>
            <w:vMerge/>
            <w:shd w:val="clear" w:color="auto" w:fill="DEEAF6" w:themeFill="accent1" w:themeFillTint="33"/>
            <w:vAlign w:val="center"/>
          </w:tcPr>
          <w:p w14:paraId="1DF4D4D8" w14:textId="77777777" w:rsidR="00FE2A3D" w:rsidRPr="00092EEB" w:rsidRDefault="00FE2A3D" w:rsidP="001E747A">
            <w:pPr>
              <w:pStyle w:val="Header"/>
              <w:spacing w:before="60" w:after="60"/>
              <w:jc w:val="center"/>
              <w:rPr>
                <w:rFonts w:cs="Arial"/>
                <w:bCs/>
              </w:rPr>
            </w:pPr>
          </w:p>
        </w:tc>
        <w:tc>
          <w:tcPr>
            <w:tcW w:w="1145" w:type="dxa"/>
            <w:vMerge/>
            <w:shd w:val="clear" w:color="auto" w:fill="DEEAF6" w:themeFill="accent1" w:themeFillTint="33"/>
            <w:vAlign w:val="center"/>
          </w:tcPr>
          <w:p w14:paraId="5496198A" w14:textId="77777777" w:rsidR="00FE2A3D" w:rsidRPr="00092EEB" w:rsidRDefault="00FE2A3D" w:rsidP="001E747A">
            <w:pPr>
              <w:pStyle w:val="Header"/>
              <w:spacing w:before="60" w:after="60"/>
              <w:jc w:val="center"/>
              <w:rPr>
                <w:rFonts w:cs="Arial"/>
                <w:bCs/>
              </w:rPr>
            </w:pPr>
          </w:p>
        </w:tc>
      </w:tr>
      <w:tr w:rsidR="00FE2A3D" w:rsidRPr="00092EEB" w14:paraId="68F61490" w14:textId="77777777" w:rsidTr="001E747A">
        <w:trPr>
          <w:trHeight w:val="335"/>
          <w:jc w:val="center"/>
        </w:trPr>
        <w:tc>
          <w:tcPr>
            <w:tcW w:w="1271" w:type="dxa"/>
            <w:vMerge/>
            <w:shd w:val="clear" w:color="auto" w:fill="DEEAF6" w:themeFill="accent1" w:themeFillTint="33"/>
            <w:vAlign w:val="center"/>
          </w:tcPr>
          <w:p w14:paraId="54A14CA2" w14:textId="77777777" w:rsidR="00FE2A3D" w:rsidRPr="00092EEB" w:rsidRDefault="00FE2A3D" w:rsidP="001E747A">
            <w:pPr>
              <w:pStyle w:val="Header"/>
              <w:spacing w:before="60" w:after="60"/>
              <w:jc w:val="center"/>
              <w:rPr>
                <w:rFonts w:cs="Arial"/>
              </w:rPr>
            </w:pPr>
          </w:p>
        </w:tc>
        <w:tc>
          <w:tcPr>
            <w:tcW w:w="4683" w:type="dxa"/>
            <w:shd w:val="clear" w:color="auto" w:fill="DEEAF6" w:themeFill="accent1" w:themeFillTint="33"/>
            <w:vAlign w:val="center"/>
          </w:tcPr>
          <w:p w14:paraId="4B05C30F" w14:textId="77777777" w:rsidR="00FE2A3D" w:rsidRPr="00092EEB" w:rsidRDefault="00FE2A3D" w:rsidP="001E747A">
            <w:pPr>
              <w:pStyle w:val="Header"/>
              <w:spacing w:before="60" w:after="60"/>
              <w:ind w:left="34"/>
              <w:rPr>
                <w:rFonts w:cs="Arial"/>
              </w:rPr>
            </w:pPr>
            <w:r w:rsidRPr="00092EEB">
              <w:rPr>
                <w:rFonts w:cs="Arial"/>
              </w:rPr>
              <w:t>Angles (Equal and Unequal Angle sections)</w:t>
            </w:r>
          </w:p>
        </w:tc>
        <w:tc>
          <w:tcPr>
            <w:tcW w:w="1134" w:type="dxa"/>
            <w:shd w:val="clear" w:color="auto" w:fill="DEEAF6" w:themeFill="accent1" w:themeFillTint="33"/>
            <w:vAlign w:val="center"/>
          </w:tcPr>
          <w:p w14:paraId="3718F8FB" w14:textId="77777777" w:rsidR="00FE2A3D" w:rsidRPr="00092EEB" w:rsidRDefault="00FE2A3D" w:rsidP="001E747A">
            <w:pPr>
              <w:pStyle w:val="Header"/>
              <w:spacing w:before="60" w:after="60"/>
              <w:ind w:left="34"/>
              <w:jc w:val="center"/>
              <w:rPr>
                <w:rFonts w:cs="Arial"/>
              </w:rPr>
            </w:pPr>
            <w:r w:rsidRPr="00092EEB">
              <w:rPr>
                <w:rFonts w:cs="Arial"/>
              </w:rPr>
              <w:t>A</w:t>
            </w:r>
          </w:p>
        </w:tc>
        <w:tc>
          <w:tcPr>
            <w:tcW w:w="1276" w:type="dxa"/>
            <w:vMerge/>
            <w:shd w:val="clear" w:color="auto" w:fill="DEEAF6" w:themeFill="accent1" w:themeFillTint="33"/>
            <w:vAlign w:val="center"/>
          </w:tcPr>
          <w:p w14:paraId="5414898D" w14:textId="77777777" w:rsidR="00FE2A3D" w:rsidRPr="00092EEB" w:rsidRDefault="00FE2A3D" w:rsidP="001E747A">
            <w:pPr>
              <w:pStyle w:val="Header"/>
              <w:spacing w:before="60" w:after="60"/>
              <w:jc w:val="center"/>
              <w:rPr>
                <w:rFonts w:cs="Arial"/>
                <w:bCs/>
              </w:rPr>
            </w:pPr>
          </w:p>
        </w:tc>
        <w:tc>
          <w:tcPr>
            <w:tcW w:w="1145" w:type="dxa"/>
            <w:vMerge/>
            <w:shd w:val="clear" w:color="auto" w:fill="DEEAF6" w:themeFill="accent1" w:themeFillTint="33"/>
            <w:vAlign w:val="center"/>
          </w:tcPr>
          <w:p w14:paraId="32EDD44B" w14:textId="77777777" w:rsidR="00FE2A3D" w:rsidRPr="00092EEB" w:rsidRDefault="00FE2A3D" w:rsidP="001E747A">
            <w:pPr>
              <w:pStyle w:val="Header"/>
              <w:spacing w:before="60" w:after="60"/>
              <w:jc w:val="center"/>
              <w:rPr>
                <w:rFonts w:cs="Arial"/>
                <w:bCs/>
              </w:rPr>
            </w:pPr>
          </w:p>
        </w:tc>
      </w:tr>
      <w:tr w:rsidR="00FE2A3D" w:rsidRPr="00092EEB" w14:paraId="283E3FF5" w14:textId="77777777" w:rsidTr="001E747A">
        <w:trPr>
          <w:trHeight w:val="374"/>
          <w:jc w:val="center"/>
        </w:trPr>
        <w:tc>
          <w:tcPr>
            <w:tcW w:w="1271" w:type="dxa"/>
            <w:vMerge w:val="restart"/>
            <w:shd w:val="clear" w:color="auto" w:fill="auto"/>
            <w:vAlign w:val="center"/>
          </w:tcPr>
          <w:p w14:paraId="437FD7EA" w14:textId="77777777" w:rsidR="00FE2A3D" w:rsidRPr="00092EEB" w:rsidRDefault="00FE2A3D" w:rsidP="001E747A">
            <w:pPr>
              <w:pStyle w:val="Header"/>
              <w:spacing w:before="60" w:after="60"/>
              <w:jc w:val="center"/>
              <w:rPr>
                <w:rFonts w:cs="Arial"/>
              </w:rPr>
            </w:pPr>
            <w:r w:rsidRPr="00092EEB">
              <w:rPr>
                <w:rFonts w:cs="Arial"/>
              </w:rPr>
              <w:t>Minimum yield strength</w:t>
            </w:r>
          </w:p>
        </w:tc>
        <w:tc>
          <w:tcPr>
            <w:tcW w:w="4683" w:type="dxa"/>
            <w:shd w:val="clear" w:color="auto" w:fill="auto"/>
            <w:vAlign w:val="center"/>
          </w:tcPr>
          <w:p w14:paraId="1A8B12AA" w14:textId="77777777" w:rsidR="00FE2A3D" w:rsidRPr="00092EEB" w:rsidRDefault="00FE2A3D" w:rsidP="001E747A">
            <w:pPr>
              <w:pStyle w:val="Header"/>
              <w:spacing w:before="60" w:after="60"/>
              <w:ind w:left="34"/>
              <w:rPr>
                <w:rFonts w:cs="Arial"/>
              </w:rPr>
            </w:pPr>
            <w:r w:rsidRPr="00092EEB">
              <w:rPr>
                <w:rFonts w:cs="Arial"/>
              </w:rPr>
              <w:t>Less than 265 MPa</w:t>
            </w:r>
          </w:p>
        </w:tc>
        <w:tc>
          <w:tcPr>
            <w:tcW w:w="1134" w:type="dxa"/>
            <w:shd w:val="clear" w:color="auto" w:fill="auto"/>
            <w:vAlign w:val="center"/>
          </w:tcPr>
          <w:p w14:paraId="6457B163" w14:textId="77777777" w:rsidR="00FE2A3D" w:rsidRPr="00092EEB" w:rsidRDefault="00FE2A3D" w:rsidP="001E747A">
            <w:pPr>
              <w:pStyle w:val="Header"/>
              <w:spacing w:before="60" w:after="60"/>
              <w:ind w:left="34"/>
              <w:jc w:val="center"/>
              <w:rPr>
                <w:rFonts w:cs="Arial"/>
              </w:rPr>
            </w:pPr>
            <w:r w:rsidRPr="00092EEB">
              <w:rPr>
                <w:rFonts w:cs="Arial"/>
              </w:rPr>
              <w:t>A</w:t>
            </w:r>
          </w:p>
        </w:tc>
        <w:tc>
          <w:tcPr>
            <w:tcW w:w="1276" w:type="dxa"/>
            <w:vMerge w:val="restart"/>
            <w:shd w:val="clear" w:color="auto" w:fill="auto"/>
            <w:vAlign w:val="center"/>
          </w:tcPr>
          <w:p w14:paraId="133D148F" w14:textId="77777777" w:rsidR="00FE2A3D" w:rsidRPr="00092EEB" w:rsidRDefault="00FE2A3D" w:rsidP="001E747A">
            <w:pPr>
              <w:pStyle w:val="Header"/>
              <w:spacing w:before="60" w:after="60"/>
              <w:jc w:val="center"/>
              <w:rPr>
                <w:rFonts w:cs="Arial"/>
                <w:bCs/>
              </w:rPr>
            </w:pPr>
            <w:r w:rsidRPr="00092EEB">
              <w:rPr>
                <w:rFonts w:cs="Arial"/>
                <w:bCs/>
              </w:rPr>
              <w:t>Mandatory</w:t>
            </w:r>
          </w:p>
        </w:tc>
        <w:tc>
          <w:tcPr>
            <w:tcW w:w="1145" w:type="dxa"/>
            <w:vMerge w:val="restart"/>
            <w:shd w:val="clear" w:color="auto" w:fill="auto"/>
            <w:vAlign w:val="center"/>
          </w:tcPr>
          <w:p w14:paraId="294A7383" w14:textId="77777777" w:rsidR="00FE2A3D" w:rsidRPr="00092EEB" w:rsidRDefault="00FE2A3D" w:rsidP="001E747A">
            <w:pPr>
              <w:pStyle w:val="Header"/>
              <w:spacing w:before="60" w:after="60"/>
              <w:jc w:val="center"/>
              <w:rPr>
                <w:rFonts w:cs="Arial"/>
                <w:bCs/>
              </w:rPr>
            </w:pPr>
            <w:r w:rsidRPr="00092EEB">
              <w:rPr>
                <w:rFonts w:cs="Arial"/>
                <w:bCs/>
              </w:rPr>
              <w:t>Mandatory</w:t>
            </w:r>
          </w:p>
        </w:tc>
      </w:tr>
      <w:tr w:rsidR="00FE2A3D" w:rsidRPr="00092EEB" w14:paraId="7D5A1FE4" w14:textId="77777777" w:rsidTr="001E747A">
        <w:trPr>
          <w:trHeight w:val="335"/>
          <w:jc w:val="center"/>
        </w:trPr>
        <w:tc>
          <w:tcPr>
            <w:tcW w:w="1271" w:type="dxa"/>
            <w:vMerge/>
            <w:shd w:val="clear" w:color="auto" w:fill="auto"/>
            <w:vAlign w:val="center"/>
          </w:tcPr>
          <w:p w14:paraId="77286BE6" w14:textId="77777777" w:rsidR="00FE2A3D" w:rsidRPr="00092EEB" w:rsidRDefault="00FE2A3D" w:rsidP="001E747A">
            <w:pPr>
              <w:pStyle w:val="Header"/>
              <w:spacing w:before="60" w:after="60"/>
              <w:jc w:val="center"/>
              <w:rPr>
                <w:rFonts w:cs="Arial"/>
              </w:rPr>
            </w:pPr>
          </w:p>
        </w:tc>
        <w:tc>
          <w:tcPr>
            <w:tcW w:w="4683" w:type="dxa"/>
            <w:shd w:val="clear" w:color="auto" w:fill="auto"/>
            <w:vAlign w:val="center"/>
          </w:tcPr>
          <w:p w14:paraId="64C044D9" w14:textId="77777777" w:rsidR="00FE2A3D" w:rsidRPr="00092EEB" w:rsidRDefault="00FE2A3D" w:rsidP="001E747A">
            <w:pPr>
              <w:pStyle w:val="Header"/>
              <w:spacing w:before="60" w:after="60"/>
              <w:ind w:left="34"/>
              <w:rPr>
                <w:rFonts w:cs="Arial"/>
              </w:rPr>
            </w:pPr>
            <w:r w:rsidRPr="00092EEB">
              <w:rPr>
                <w:rFonts w:cs="Arial"/>
              </w:rPr>
              <w:t>Greater than or equal to 265 MPa</w:t>
            </w:r>
          </w:p>
        </w:tc>
        <w:tc>
          <w:tcPr>
            <w:tcW w:w="1134" w:type="dxa"/>
            <w:shd w:val="clear" w:color="auto" w:fill="auto"/>
            <w:vAlign w:val="center"/>
          </w:tcPr>
          <w:p w14:paraId="3F1E210F" w14:textId="77777777" w:rsidR="00FE2A3D" w:rsidRPr="00092EEB" w:rsidRDefault="00FE2A3D" w:rsidP="001E747A">
            <w:pPr>
              <w:pStyle w:val="Header"/>
              <w:spacing w:before="60" w:after="60"/>
              <w:ind w:left="34"/>
              <w:jc w:val="center"/>
              <w:rPr>
                <w:rFonts w:cs="Arial"/>
              </w:rPr>
            </w:pPr>
            <w:r w:rsidRPr="00092EEB">
              <w:rPr>
                <w:rFonts w:cs="Arial"/>
              </w:rPr>
              <w:t>B</w:t>
            </w:r>
          </w:p>
        </w:tc>
        <w:tc>
          <w:tcPr>
            <w:tcW w:w="1276" w:type="dxa"/>
            <w:vMerge/>
            <w:shd w:val="clear" w:color="auto" w:fill="auto"/>
            <w:vAlign w:val="center"/>
          </w:tcPr>
          <w:p w14:paraId="01E70954" w14:textId="77777777" w:rsidR="00FE2A3D" w:rsidRPr="00092EEB" w:rsidRDefault="00FE2A3D" w:rsidP="001E747A">
            <w:pPr>
              <w:pStyle w:val="Header"/>
              <w:spacing w:before="60" w:after="60"/>
              <w:jc w:val="center"/>
              <w:rPr>
                <w:rFonts w:cs="Arial"/>
              </w:rPr>
            </w:pPr>
          </w:p>
        </w:tc>
        <w:tc>
          <w:tcPr>
            <w:tcW w:w="1145" w:type="dxa"/>
            <w:vMerge/>
            <w:shd w:val="clear" w:color="auto" w:fill="auto"/>
            <w:vAlign w:val="center"/>
          </w:tcPr>
          <w:p w14:paraId="175D9CEE" w14:textId="77777777" w:rsidR="00FE2A3D" w:rsidRPr="00092EEB" w:rsidRDefault="00FE2A3D" w:rsidP="001E747A">
            <w:pPr>
              <w:pStyle w:val="Header"/>
              <w:spacing w:before="60" w:after="60"/>
              <w:jc w:val="center"/>
              <w:rPr>
                <w:rFonts w:cs="Arial"/>
              </w:rPr>
            </w:pPr>
          </w:p>
        </w:tc>
      </w:tr>
      <w:tr w:rsidR="00FE2A3D" w:rsidRPr="00092EEB" w14:paraId="3A04D8F4" w14:textId="77777777" w:rsidTr="001E747A">
        <w:trPr>
          <w:trHeight w:val="335"/>
          <w:jc w:val="center"/>
        </w:trPr>
        <w:tc>
          <w:tcPr>
            <w:tcW w:w="1271" w:type="dxa"/>
            <w:vMerge w:val="restart"/>
            <w:shd w:val="clear" w:color="auto" w:fill="DEEAF6" w:themeFill="accent1" w:themeFillTint="33"/>
            <w:vAlign w:val="center"/>
          </w:tcPr>
          <w:p w14:paraId="05865EF9" w14:textId="77777777" w:rsidR="00FE2A3D" w:rsidRPr="00092EEB" w:rsidRDefault="00FE2A3D" w:rsidP="001E747A">
            <w:pPr>
              <w:pStyle w:val="Header"/>
              <w:spacing w:before="60" w:after="60"/>
              <w:jc w:val="center"/>
              <w:rPr>
                <w:rFonts w:cs="Arial"/>
              </w:rPr>
            </w:pPr>
            <w:r w:rsidRPr="00092EEB">
              <w:rPr>
                <w:rFonts w:cs="Arial"/>
              </w:rPr>
              <w:t>Tensile strength</w:t>
            </w:r>
          </w:p>
        </w:tc>
        <w:tc>
          <w:tcPr>
            <w:tcW w:w="4683" w:type="dxa"/>
            <w:shd w:val="clear" w:color="auto" w:fill="DEEAF6" w:themeFill="accent1" w:themeFillTint="33"/>
            <w:vAlign w:val="center"/>
          </w:tcPr>
          <w:p w14:paraId="0EF634BA" w14:textId="77777777" w:rsidR="00FE2A3D" w:rsidRPr="00092EEB" w:rsidRDefault="00FE2A3D" w:rsidP="001E747A">
            <w:pPr>
              <w:pStyle w:val="Header"/>
              <w:spacing w:before="60" w:after="60"/>
              <w:ind w:left="34"/>
              <w:rPr>
                <w:rFonts w:cs="Arial"/>
              </w:rPr>
            </w:pPr>
            <w:r w:rsidRPr="00092EEB">
              <w:rPr>
                <w:rFonts w:cs="Arial"/>
              </w:rPr>
              <w:t>Less than 400 MPa</w:t>
            </w:r>
          </w:p>
        </w:tc>
        <w:tc>
          <w:tcPr>
            <w:tcW w:w="1134" w:type="dxa"/>
            <w:shd w:val="clear" w:color="auto" w:fill="DEEAF6" w:themeFill="accent1" w:themeFillTint="33"/>
            <w:vAlign w:val="center"/>
          </w:tcPr>
          <w:p w14:paraId="165174E0" w14:textId="77777777" w:rsidR="00FE2A3D" w:rsidRPr="00092EEB" w:rsidRDefault="00FE2A3D" w:rsidP="001E747A">
            <w:pPr>
              <w:pStyle w:val="Header"/>
              <w:spacing w:before="60" w:after="60"/>
              <w:ind w:left="34"/>
              <w:jc w:val="center"/>
              <w:rPr>
                <w:rFonts w:cs="Arial"/>
              </w:rPr>
            </w:pPr>
            <w:r w:rsidRPr="00092EEB">
              <w:rPr>
                <w:rFonts w:cs="Arial"/>
              </w:rPr>
              <w:t>A</w:t>
            </w:r>
          </w:p>
        </w:tc>
        <w:tc>
          <w:tcPr>
            <w:tcW w:w="1276" w:type="dxa"/>
            <w:vMerge w:val="restart"/>
            <w:shd w:val="clear" w:color="auto" w:fill="DEEAF6" w:themeFill="accent1" w:themeFillTint="33"/>
            <w:vAlign w:val="center"/>
          </w:tcPr>
          <w:p w14:paraId="4DFD7CC8" w14:textId="77777777" w:rsidR="00FE2A3D" w:rsidRPr="00092EEB" w:rsidRDefault="00FE2A3D" w:rsidP="001E747A">
            <w:pPr>
              <w:pStyle w:val="Header"/>
              <w:spacing w:before="60" w:after="60"/>
              <w:jc w:val="center"/>
              <w:rPr>
                <w:rFonts w:cs="Arial"/>
              </w:rPr>
            </w:pPr>
            <w:r w:rsidRPr="00092EEB">
              <w:rPr>
                <w:rFonts w:cs="Arial"/>
              </w:rPr>
              <w:t>Optional</w:t>
            </w:r>
          </w:p>
        </w:tc>
        <w:tc>
          <w:tcPr>
            <w:tcW w:w="1145" w:type="dxa"/>
            <w:vMerge w:val="restart"/>
            <w:shd w:val="clear" w:color="auto" w:fill="DEEAF6" w:themeFill="accent1" w:themeFillTint="33"/>
            <w:vAlign w:val="center"/>
          </w:tcPr>
          <w:p w14:paraId="10A8E278" w14:textId="77777777" w:rsidR="00FE2A3D" w:rsidRPr="00092EEB" w:rsidRDefault="00FE2A3D" w:rsidP="001E747A">
            <w:pPr>
              <w:pStyle w:val="Header"/>
              <w:spacing w:before="60" w:after="60"/>
              <w:jc w:val="center"/>
              <w:rPr>
                <w:rFonts w:cs="Arial"/>
              </w:rPr>
            </w:pPr>
            <w:r w:rsidRPr="00092EEB">
              <w:rPr>
                <w:rFonts w:cs="Arial"/>
              </w:rPr>
              <w:t>Optional</w:t>
            </w:r>
          </w:p>
        </w:tc>
      </w:tr>
      <w:tr w:rsidR="00FE2A3D" w:rsidRPr="00092EEB" w14:paraId="753282C0" w14:textId="77777777" w:rsidTr="001E747A">
        <w:trPr>
          <w:trHeight w:val="335"/>
          <w:jc w:val="center"/>
        </w:trPr>
        <w:tc>
          <w:tcPr>
            <w:tcW w:w="1271" w:type="dxa"/>
            <w:vMerge/>
            <w:shd w:val="clear" w:color="auto" w:fill="DEEAF6" w:themeFill="accent1" w:themeFillTint="33"/>
            <w:vAlign w:val="center"/>
          </w:tcPr>
          <w:p w14:paraId="6703EDCB" w14:textId="77777777" w:rsidR="00FE2A3D" w:rsidRPr="00092EEB" w:rsidRDefault="00FE2A3D" w:rsidP="001E747A">
            <w:pPr>
              <w:pStyle w:val="Header"/>
              <w:spacing w:before="60" w:after="60"/>
              <w:jc w:val="center"/>
              <w:rPr>
                <w:rFonts w:cs="Arial"/>
              </w:rPr>
            </w:pPr>
          </w:p>
        </w:tc>
        <w:tc>
          <w:tcPr>
            <w:tcW w:w="4683" w:type="dxa"/>
            <w:shd w:val="clear" w:color="auto" w:fill="DEEAF6" w:themeFill="accent1" w:themeFillTint="33"/>
            <w:vAlign w:val="center"/>
          </w:tcPr>
          <w:p w14:paraId="1CC666D4" w14:textId="77777777" w:rsidR="00FE2A3D" w:rsidRPr="00092EEB" w:rsidRDefault="00FE2A3D" w:rsidP="001E747A">
            <w:pPr>
              <w:pStyle w:val="Header"/>
              <w:spacing w:before="60" w:after="60"/>
              <w:ind w:left="34"/>
              <w:rPr>
                <w:rFonts w:cs="Arial"/>
              </w:rPr>
            </w:pPr>
            <w:r w:rsidRPr="00092EEB">
              <w:rPr>
                <w:rFonts w:cs="Arial"/>
              </w:rPr>
              <w:t>Greater than or equal to 400 MPa and less than 450 MPa</w:t>
            </w:r>
          </w:p>
        </w:tc>
        <w:tc>
          <w:tcPr>
            <w:tcW w:w="1134" w:type="dxa"/>
            <w:shd w:val="clear" w:color="auto" w:fill="DEEAF6" w:themeFill="accent1" w:themeFillTint="33"/>
            <w:vAlign w:val="center"/>
          </w:tcPr>
          <w:p w14:paraId="0263A3F1" w14:textId="77777777" w:rsidR="00FE2A3D" w:rsidRPr="00092EEB" w:rsidRDefault="00FE2A3D" w:rsidP="001E747A">
            <w:pPr>
              <w:pStyle w:val="Header"/>
              <w:spacing w:before="60" w:after="60"/>
              <w:ind w:left="34"/>
              <w:jc w:val="center"/>
              <w:rPr>
                <w:rFonts w:cs="Arial"/>
              </w:rPr>
            </w:pPr>
            <w:r w:rsidRPr="00092EEB">
              <w:rPr>
                <w:rFonts w:cs="Arial"/>
              </w:rPr>
              <w:t>B</w:t>
            </w:r>
          </w:p>
        </w:tc>
        <w:tc>
          <w:tcPr>
            <w:tcW w:w="1276" w:type="dxa"/>
            <w:vMerge/>
            <w:shd w:val="clear" w:color="auto" w:fill="DEEAF6" w:themeFill="accent1" w:themeFillTint="33"/>
            <w:vAlign w:val="center"/>
          </w:tcPr>
          <w:p w14:paraId="43950E9F" w14:textId="77777777" w:rsidR="00FE2A3D" w:rsidRPr="00092EEB" w:rsidRDefault="00FE2A3D" w:rsidP="001E747A">
            <w:pPr>
              <w:pStyle w:val="Header"/>
              <w:spacing w:before="60" w:after="60"/>
              <w:jc w:val="center"/>
              <w:rPr>
                <w:rFonts w:cs="Arial"/>
              </w:rPr>
            </w:pPr>
          </w:p>
        </w:tc>
        <w:tc>
          <w:tcPr>
            <w:tcW w:w="1145" w:type="dxa"/>
            <w:vMerge/>
            <w:shd w:val="clear" w:color="auto" w:fill="DEEAF6" w:themeFill="accent1" w:themeFillTint="33"/>
            <w:vAlign w:val="center"/>
          </w:tcPr>
          <w:p w14:paraId="485EBAD6" w14:textId="77777777" w:rsidR="00FE2A3D" w:rsidRPr="00092EEB" w:rsidRDefault="00FE2A3D" w:rsidP="001E747A">
            <w:pPr>
              <w:pStyle w:val="Header"/>
              <w:spacing w:before="60" w:after="60"/>
              <w:jc w:val="center"/>
              <w:rPr>
                <w:rFonts w:cs="Arial"/>
              </w:rPr>
            </w:pPr>
          </w:p>
        </w:tc>
      </w:tr>
      <w:tr w:rsidR="00FE2A3D" w:rsidRPr="00092EEB" w14:paraId="2DFBB17A" w14:textId="77777777" w:rsidTr="001E747A">
        <w:trPr>
          <w:trHeight w:val="334"/>
          <w:jc w:val="center"/>
        </w:trPr>
        <w:tc>
          <w:tcPr>
            <w:tcW w:w="1271" w:type="dxa"/>
            <w:vMerge/>
            <w:shd w:val="clear" w:color="auto" w:fill="DEEAF6" w:themeFill="accent1" w:themeFillTint="33"/>
            <w:vAlign w:val="center"/>
          </w:tcPr>
          <w:p w14:paraId="2DCEE5E1" w14:textId="77777777" w:rsidR="00FE2A3D" w:rsidRPr="00092EEB" w:rsidRDefault="00FE2A3D" w:rsidP="001E747A">
            <w:pPr>
              <w:pStyle w:val="Header"/>
              <w:spacing w:before="60" w:after="60"/>
              <w:jc w:val="center"/>
              <w:rPr>
                <w:rFonts w:cs="Arial"/>
              </w:rPr>
            </w:pPr>
          </w:p>
        </w:tc>
        <w:tc>
          <w:tcPr>
            <w:tcW w:w="4683" w:type="dxa"/>
            <w:shd w:val="clear" w:color="auto" w:fill="DEEAF6" w:themeFill="accent1" w:themeFillTint="33"/>
            <w:vAlign w:val="center"/>
          </w:tcPr>
          <w:p w14:paraId="7555B264" w14:textId="77777777" w:rsidR="00FE2A3D" w:rsidRPr="00092EEB" w:rsidRDefault="00FE2A3D" w:rsidP="001E747A">
            <w:pPr>
              <w:pStyle w:val="Header"/>
              <w:spacing w:before="60" w:after="60"/>
              <w:ind w:left="34"/>
              <w:rPr>
                <w:rFonts w:cs="Arial"/>
              </w:rPr>
            </w:pPr>
            <w:r w:rsidRPr="00092EEB">
              <w:rPr>
                <w:rFonts w:cs="Arial"/>
              </w:rPr>
              <w:t>Greater than or equal to 450 MPa and less than 500 MPa</w:t>
            </w:r>
          </w:p>
        </w:tc>
        <w:tc>
          <w:tcPr>
            <w:tcW w:w="1134" w:type="dxa"/>
            <w:shd w:val="clear" w:color="auto" w:fill="DEEAF6" w:themeFill="accent1" w:themeFillTint="33"/>
            <w:vAlign w:val="center"/>
          </w:tcPr>
          <w:p w14:paraId="73A9955E" w14:textId="77777777" w:rsidR="00FE2A3D" w:rsidRPr="00092EEB" w:rsidRDefault="00FE2A3D" w:rsidP="001E747A">
            <w:pPr>
              <w:pStyle w:val="Header"/>
              <w:spacing w:before="60" w:after="60"/>
              <w:ind w:left="34"/>
              <w:jc w:val="center"/>
              <w:rPr>
                <w:rFonts w:cs="Arial"/>
              </w:rPr>
            </w:pPr>
            <w:r w:rsidRPr="00092EEB">
              <w:rPr>
                <w:rFonts w:cs="Arial"/>
              </w:rPr>
              <w:t>C</w:t>
            </w:r>
          </w:p>
        </w:tc>
        <w:tc>
          <w:tcPr>
            <w:tcW w:w="1276" w:type="dxa"/>
            <w:vMerge/>
            <w:shd w:val="clear" w:color="auto" w:fill="DEEAF6" w:themeFill="accent1" w:themeFillTint="33"/>
            <w:vAlign w:val="center"/>
          </w:tcPr>
          <w:p w14:paraId="4BD43ED8" w14:textId="77777777" w:rsidR="00FE2A3D" w:rsidRPr="00092EEB" w:rsidRDefault="00FE2A3D" w:rsidP="001E747A">
            <w:pPr>
              <w:pStyle w:val="Header"/>
              <w:spacing w:before="60" w:after="60"/>
              <w:jc w:val="center"/>
              <w:rPr>
                <w:rFonts w:cs="Arial"/>
              </w:rPr>
            </w:pPr>
          </w:p>
        </w:tc>
        <w:tc>
          <w:tcPr>
            <w:tcW w:w="1145" w:type="dxa"/>
            <w:vMerge/>
            <w:shd w:val="clear" w:color="auto" w:fill="DEEAF6" w:themeFill="accent1" w:themeFillTint="33"/>
            <w:vAlign w:val="center"/>
          </w:tcPr>
          <w:p w14:paraId="287BBC83" w14:textId="77777777" w:rsidR="00FE2A3D" w:rsidRPr="00092EEB" w:rsidRDefault="00FE2A3D" w:rsidP="001E747A">
            <w:pPr>
              <w:pStyle w:val="Header"/>
              <w:spacing w:before="60" w:after="60"/>
              <w:jc w:val="center"/>
              <w:rPr>
                <w:rFonts w:cs="Arial"/>
              </w:rPr>
            </w:pPr>
          </w:p>
        </w:tc>
      </w:tr>
      <w:tr w:rsidR="00FE2A3D" w:rsidRPr="00092EEB" w14:paraId="20D8F4BC" w14:textId="77777777" w:rsidTr="001E747A">
        <w:trPr>
          <w:trHeight w:val="335"/>
          <w:jc w:val="center"/>
        </w:trPr>
        <w:tc>
          <w:tcPr>
            <w:tcW w:w="1271" w:type="dxa"/>
            <w:vMerge/>
            <w:shd w:val="clear" w:color="auto" w:fill="DEEAF6" w:themeFill="accent1" w:themeFillTint="33"/>
            <w:vAlign w:val="center"/>
          </w:tcPr>
          <w:p w14:paraId="2BD45E87" w14:textId="77777777" w:rsidR="00FE2A3D" w:rsidRPr="00092EEB" w:rsidRDefault="00FE2A3D" w:rsidP="001E747A">
            <w:pPr>
              <w:pStyle w:val="Header"/>
              <w:spacing w:before="60" w:after="60"/>
              <w:jc w:val="center"/>
              <w:rPr>
                <w:rFonts w:cs="Arial"/>
              </w:rPr>
            </w:pPr>
          </w:p>
        </w:tc>
        <w:tc>
          <w:tcPr>
            <w:tcW w:w="4683" w:type="dxa"/>
            <w:shd w:val="clear" w:color="auto" w:fill="DEEAF6" w:themeFill="accent1" w:themeFillTint="33"/>
            <w:vAlign w:val="center"/>
          </w:tcPr>
          <w:p w14:paraId="0D3B2648" w14:textId="77777777" w:rsidR="00FE2A3D" w:rsidRPr="00092EEB" w:rsidRDefault="00FE2A3D" w:rsidP="001E747A">
            <w:pPr>
              <w:pStyle w:val="Header"/>
              <w:spacing w:before="60" w:after="60"/>
              <w:ind w:left="34"/>
              <w:rPr>
                <w:rFonts w:cs="Arial"/>
              </w:rPr>
            </w:pPr>
            <w:r w:rsidRPr="00092EEB">
              <w:rPr>
                <w:rFonts w:cs="Arial"/>
              </w:rPr>
              <w:t>Greater than or equal to 500 MPa</w:t>
            </w:r>
          </w:p>
        </w:tc>
        <w:tc>
          <w:tcPr>
            <w:tcW w:w="1134" w:type="dxa"/>
            <w:shd w:val="clear" w:color="auto" w:fill="DEEAF6" w:themeFill="accent1" w:themeFillTint="33"/>
            <w:vAlign w:val="center"/>
          </w:tcPr>
          <w:p w14:paraId="31384557" w14:textId="77777777" w:rsidR="00FE2A3D" w:rsidRPr="00092EEB" w:rsidRDefault="00FE2A3D" w:rsidP="001E747A">
            <w:pPr>
              <w:pStyle w:val="Header"/>
              <w:spacing w:before="60" w:after="60"/>
              <w:ind w:left="34"/>
              <w:jc w:val="center"/>
              <w:rPr>
                <w:rFonts w:cs="Arial"/>
              </w:rPr>
            </w:pPr>
            <w:r w:rsidRPr="00092EEB">
              <w:rPr>
                <w:rFonts w:cs="Arial"/>
              </w:rPr>
              <w:t>D</w:t>
            </w:r>
          </w:p>
        </w:tc>
        <w:tc>
          <w:tcPr>
            <w:tcW w:w="1276" w:type="dxa"/>
            <w:vMerge/>
            <w:shd w:val="clear" w:color="auto" w:fill="DEEAF6" w:themeFill="accent1" w:themeFillTint="33"/>
            <w:vAlign w:val="center"/>
          </w:tcPr>
          <w:p w14:paraId="56C8E263" w14:textId="77777777" w:rsidR="00FE2A3D" w:rsidRPr="00092EEB" w:rsidRDefault="00FE2A3D" w:rsidP="001E747A">
            <w:pPr>
              <w:pStyle w:val="Header"/>
              <w:spacing w:before="60" w:after="60"/>
              <w:jc w:val="center"/>
              <w:rPr>
                <w:rFonts w:cs="Arial"/>
              </w:rPr>
            </w:pPr>
          </w:p>
        </w:tc>
        <w:tc>
          <w:tcPr>
            <w:tcW w:w="1145" w:type="dxa"/>
            <w:vMerge/>
            <w:shd w:val="clear" w:color="auto" w:fill="DEEAF6" w:themeFill="accent1" w:themeFillTint="33"/>
            <w:vAlign w:val="center"/>
          </w:tcPr>
          <w:p w14:paraId="73A1CA40" w14:textId="77777777" w:rsidR="00FE2A3D" w:rsidRPr="00092EEB" w:rsidRDefault="00FE2A3D" w:rsidP="001E747A">
            <w:pPr>
              <w:pStyle w:val="Header"/>
              <w:spacing w:before="60" w:after="60"/>
              <w:jc w:val="center"/>
              <w:rPr>
                <w:rFonts w:cs="Arial"/>
              </w:rPr>
            </w:pPr>
          </w:p>
        </w:tc>
      </w:tr>
      <w:tr w:rsidR="00FE2A3D" w:rsidRPr="00092EEB" w14:paraId="6ADA5AD7" w14:textId="77777777" w:rsidTr="001E747A">
        <w:trPr>
          <w:trHeight w:val="335"/>
          <w:jc w:val="center"/>
        </w:trPr>
        <w:tc>
          <w:tcPr>
            <w:tcW w:w="1271" w:type="dxa"/>
            <w:vMerge w:val="restart"/>
            <w:shd w:val="clear" w:color="auto" w:fill="auto"/>
            <w:vAlign w:val="center"/>
          </w:tcPr>
          <w:p w14:paraId="3E3190F6" w14:textId="77777777" w:rsidR="00FE2A3D" w:rsidRPr="00092EEB" w:rsidRDefault="00FE2A3D" w:rsidP="001E747A">
            <w:pPr>
              <w:pStyle w:val="Header"/>
              <w:spacing w:before="60" w:after="60"/>
              <w:jc w:val="center"/>
              <w:rPr>
                <w:rFonts w:cs="Arial"/>
              </w:rPr>
            </w:pPr>
            <w:r w:rsidRPr="00092EEB">
              <w:rPr>
                <w:rFonts w:cs="Arial"/>
              </w:rPr>
              <w:t>Thickness</w:t>
            </w:r>
          </w:p>
        </w:tc>
        <w:tc>
          <w:tcPr>
            <w:tcW w:w="4683" w:type="dxa"/>
            <w:shd w:val="clear" w:color="auto" w:fill="auto"/>
            <w:vAlign w:val="center"/>
          </w:tcPr>
          <w:p w14:paraId="0E92FDD8" w14:textId="77777777" w:rsidR="00FE2A3D" w:rsidRPr="00092EEB" w:rsidRDefault="00FE2A3D" w:rsidP="001E747A">
            <w:pPr>
              <w:pStyle w:val="Header"/>
              <w:spacing w:before="60" w:after="60"/>
              <w:ind w:left="34"/>
              <w:rPr>
                <w:rFonts w:cs="Arial"/>
              </w:rPr>
            </w:pPr>
            <w:r w:rsidRPr="00092EEB">
              <w:rPr>
                <w:rFonts w:cs="Arial"/>
              </w:rPr>
              <w:t xml:space="preserve">Minimum cross-sectional thickness less than </w:t>
            </w:r>
            <w:r>
              <w:rPr>
                <w:rFonts w:cs="Arial"/>
              </w:rPr>
              <w:br/>
            </w:r>
            <w:r w:rsidRPr="00092EEB">
              <w:rPr>
                <w:rFonts w:cs="Arial"/>
              </w:rPr>
              <w:t>11 mm</w:t>
            </w:r>
          </w:p>
        </w:tc>
        <w:tc>
          <w:tcPr>
            <w:tcW w:w="1134" w:type="dxa"/>
            <w:shd w:val="clear" w:color="auto" w:fill="auto"/>
            <w:vAlign w:val="center"/>
          </w:tcPr>
          <w:p w14:paraId="3820FE18" w14:textId="77777777" w:rsidR="00FE2A3D" w:rsidRPr="00092EEB" w:rsidRDefault="00FE2A3D" w:rsidP="001E747A">
            <w:pPr>
              <w:pStyle w:val="Header"/>
              <w:spacing w:before="60" w:after="60"/>
              <w:ind w:left="34"/>
              <w:jc w:val="center"/>
              <w:rPr>
                <w:rFonts w:cs="Arial"/>
              </w:rPr>
            </w:pPr>
            <w:r w:rsidRPr="00092EEB">
              <w:rPr>
                <w:rFonts w:cs="Arial"/>
              </w:rPr>
              <w:t>1</w:t>
            </w:r>
          </w:p>
        </w:tc>
        <w:tc>
          <w:tcPr>
            <w:tcW w:w="1276" w:type="dxa"/>
            <w:vMerge w:val="restart"/>
            <w:shd w:val="clear" w:color="auto" w:fill="auto"/>
            <w:vAlign w:val="center"/>
          </w:tcPr>
          <w:p w14:paraId="64C0A227" w14:textId="77777777" w:rsidR="00FE2A3D" w:rsidRPr="00092EEB" w:rsidRDefault="00FE2A3D" w:rsidP="001E747A">
            <w:pPr>
              <w:pStyle w:val="Header"/>
              <w:spacing w:before="60" w:after="60"/>
              <w:jc w:val="center"/>
              <w:rPr>
                <w:rFonts w:cs="Arial"/>
              </w:rPr>
            </w:pPr>
            <w:r w:rsidRPr="00092EEB">
              <w:rPr>
                <w:rFonts w:cs="Arial"/>
              </w:rPr>
              <w:t>Optional</w:t>
            </w:r>
          </w:p>
        </w:tc>
        <w:tc>
          <w:tcPr>
            <w:tcW w:w="1145" w:type="dxa"/>
            <w:vMerge w:val="restart"/>
            <w:shd w:val="clear" w:color="auto" w:fill="auto"/>
            <w:vAlign w:val="center"/>
          </w:tcPr>
          <w:p w14:paraId="4D199E4A" w14:textId="77777777" w:rsidR="00FE2A3D" w:rsidRPr="00092EEB" w:rsidRDefault="00FE2A3D" w:rsidP="001E747A">
            <w:pPr>
              <w:pStyle w:val="Header"/>
              <w:spacing w:before="60" w:after="60"/>
              <w:jc w:val="center"/>
              <w:rPr>
                <w:rFonts w:cs="Arial"/>
              </w:rPr>
            </w:pPr>
            <w:r w:rsidRPr="00092EEB">
              <w:rPr>
                <w:rFonts w:cs="Arial"/>
              </w:rPr>
              <w:t>Optional</w:t>
            </w:r>
          </w:p>
        </w:tc>
      </w:tr>
      <w:tr w:rsidR="00FE2A3D" w:rsidRPr="00092EEB" w14:paraId="73CEF02C" w14:textId="77777777" w:rsidTr="001E747A">
        <w:trPr>
          <w:trHeight w:val="335"/>
          <w:jc w:val="center"/>
        </w:trPr>
        <w:tc>
          <w:tcPr>
            <w:tcW w:w="1271" w:type="dxa"/>
            <w:vMerge/>
            <w:shd w:val="clear" w:color="auto" w:fill="auto"/>
            <w:vAlign w:val="center"/>
          </w:tcPr>
          <w:p w14:paraId="55DBE1C4" w14:textId="77777777" w:rsidR="00FE2A3D" w:rsidRPr="00092EEB" w:rsidRDefault="00FE2A3D" w:rsidP="001E747A">
            <w:pPr>
              <w:pStyle w:val="Header"/>
              <w:spacing w:before="60" w:after="60"/>
              <w:jc w:val="center"/>
              <w:rPr>
                <w:rFonts w:cs="Arial"/>
              </w:rPr>
            </w:pPr>
          </w:p>
        </w:tc>
        <w:tc>
          <w:tcPr>
            <w:tcW w:w="4683" w:type="dxa"/>
            <w:shd w:val="clear" w:color="auto" w:fill="auto"/>
            <w:vAlign w:val="center"/>
          </w:tcPr>
          <w:p w14:paraId="6F70F930" w14:textId="77777777" w:rsidR="00FE2A3D" w:rsidRPr="00092EEB" w:rsidRDefault="00FE2A3D" w:rsidP="001E747A">
            <w:pPr>
              <w:pStyle w:val="Header"/>
              <w:spacing w:before="60" w:after="60"/>
              <w:ind w:left="34"/>
              <w:rPr>
                <w:rFonts w:cs="Arial"/>
              </w:rPr>
            </w:pPr>
            <w:r w:rsidRPr="00092EEB">
              <w:rPr>
                <w:rFonts w:cs="Arial"/>
              </w:rPr>
              <w:t>Minimum cross-sectional thickness greater than or equal to 11 mm</w:t>
            </w:r>
          </w:p>
        </w:tc>
        <w:tc>
          <w:tcPr>
            <w:tcW w:w="1134" w:type="dxa"/>
            <w:shd w:val="clear" w:color="auto" w:fill="auto"/>
            <w:vAlign w:val="center"/>
          </w:tcPr>
          <w:p w14:paraId="5C14903C" w14:textId="77777777" w:rsidR="00FE2A3D" w:rsidRPr="00092EEB" w:rsidRDefault="00FE2A3D" w:rsidP="001E747A">
            <w:pPr>
              <w:pStyle w:val="Header"/>
              <w:spacing w:before="60" w:after="60"/>
              <w:ind w:left="34"/>
              <w:jc w:val="center"/>
              <w:rPr>
                <w:rFonts w:cs="Arial"/>
              </w:rPr>
            </w:pPr>
            <w:r w:rsidRPr="00092EEB">
              <w:rPr>
                <w:rFonts w:cs="Arial"/>
              </w:rPr>
              <w:t>2</w:t>
            </w:r>
          </w:p>
        </w:tc>
        <w:tc>
          <w:tcPr>
            <w:tcW w:w="1276" w:type="dxa"/>
            <w:vMerge/>
            <w:shd w:val="clear" w:color="auto" w:fill="auto"/>
            <w:vAlign w:val="center"/>
          </w:tcPr>
          <w:p w14:paraId="1BEE39EC" w14:textId="77777777" w:rsidR="00FE2A3D" w:rsidRPr="00092EEB" w:rsidRDefault="00FE2A3D" w:rsidP="001E747A">
            <w:pPr>
              <w:pStyle w:val="Header"/>
              <w:spacing w:before="60" w:after="60"/>
              <w:jc w:val="center"/>
              <w:rPr>
                <w:rFonts w:cs="Arial"/>
              </w:rPr>
            </w:pPr>
          </w:p>
        </w:tc>
        <w:tc>
          <w:tcPr>
            <w:tcW w:w="1145" w:type="dxa"/>
            <w:vMerge/>
            <w:shd w:val="clear" w:color="auto" w:fill="auto"/>
            <w:vAlign w:val="center"/>
          </w:tcPr>
          <w:p w14:paraId="1D30CA55" w14:textId="77777777" w:rsidR="00FE2A3D" w:rsidRPr="00092EEB" w:rsidRDefault="00FE2A3D" w:rsidP="001E747A">
            <w:pPr>
              <w:pStyle w:val="Header"/>
              <w:spacing w:before="60" w:after="60"/>
              <w:jc w:val="center"/>
              <w:rPr>
                <w:rFonts w:cs="Arial"/>
              </w:rPr>
            </w:pPr>
          </w:p>
        </w:tc>
      </w:tr>
      <w:tr w:rsidR="00FE2A3D" w:rsidRPr="00092EEB" w14:paraId="2D7C207A" w14:textId="77777777" w:rsidTr="001E747A">
        <w:trPr>
          <w:trHeight w:val="335"/>
          <w:jc w:val="center"/>
        </w:trPr>
        <w:tc>
          <w:tcPr>
            <w:tcW w:w="1271" w:type="dxa"/>
            <w:vMerge w:val="restart"/>
            <w:shd w:val="clear" w:color="auto" w:fill="DEEAF6" w:themeFill="accent1" w:themeFillTint="33"/>
            <w:vAlign w:val="center"/>
          </w:tcPr>
          <w:p w14:paraId="64E0CB42" w14:textId="77777777" w:rsidR="00FE2A3D" w:rsidRPr="00092EEB" w:rsidRDefault="00FE2A3D" w:rsidP="001E747A">
            <w:pPr>
              <w:pStyle w:val="Header"/>
              <w:spacing w:before="60" w:after="60"/>
              <w:jc w:val="center"/>
              <w:rPr>
                <w:rFonts w:cs="Arial"/>
              </w:rPr>
            </w:pPr>
            <w:r w:rsidRPr="00092EEB">
              <w:rPr>
                <w:rFonts w:cs="Arial"/>
              </w:rPr>
              <w:t>Dimension</w:t>
            </w:r>
          </w:p>
        </w:tc>
        <w:tc>
          <w:tcPr>
            <w:tcW w:w="4683" w:type="dxa"/>
            <w:shd w:val="clear" w:color="auto" w:fill="DEEAF6" w:themeFill="accent1" w:themeFillTint="33"/>
            <w:vAlign w:val="center"/>
          </w:tcPr>
          <w:p w14:paraId="1EE285CF" w14:textId="77777777" w:rsidR="00FE2A3D" w:rsidRPr="00092EEB" w:rsidRDefault="00FE2A3D" w:rsidP="001E747A">
            <w:pPr>
              <w:pStyle w:val="Header"/>
              <w:spacing w:before="60" w:after="60"/>
              <w:ind w:left="34"/>
              <w:rPr>
                <w:rFonts w:cs="Arial"/>
              </w:rPr>
            </w:pPr>
            <w:r w:rsidRPr="00092EEB">
              <w:rPr>
                <w:rFonts w:cs="Arial"/>
              </w:rPr>
              <w:t>Beam or section height less than 230 mm</w:t>
            </w:r>
          </w:p>
        </w:tc>
        <w:tc>
          <w:tcPr>
            <w:tcW w:w="1134" w:type="dxa"/>
            <w:shd w:val="clear" w:color="auto" w:fill="DEEAF6" w:themeFill="accent1" w:themeFillTint="33"/>
            <w:vAlign w:val="center"/>
          </w:tcPr>
          <w:p w14:paraId="73342013" w14:textId="77777777" w:rsidR="00FE2A3D" w:rsidRPr="00092EEB" w:rsidRDefault="00FE2A3D" w:rsidP="001E747A">
            <w:pPr>
              <w:pStyle w:val="Header"/>
              <w:spacing w:before="60" w:after="60"/>
              <w:ind w:left="34"/>
              <w:jc w:val="center"/>
              <w:rPr>
                <w:rFonts w:cs="Arial"/>
              </w:rPr>
            </w:pPr>
            <w:r w:rsidRPr="00092EEB">
              <w:rPr>
                <w:rFonts w:cs="Arial"/>
              </w:rPr>
              <w:t>S</w:t>
            </w:r>
          </w:p>
        </w:tc>
        <w:tc>
          <w:tcPr>
            <w:tcW w:w="1276" w:type="dxa"/>
            <w:vMerge w:val="restart"/>
            <w:shd w:val="clear" w:color="auto" w:fill="DEEAF6" w:themeFill="accent1" w:themeFillTint="33"/>
            <w:vAlign w:val="center"/>
          </w:tcPr>
          <w:p w14:paraId="31BF7CDA" w14:textId="77777777" w:rsidR="00FE2A3D" w:rsidRPr="00092EEB" w:rsidRDefault="00FE2A3D" w:rsidP="001E747A">
            <w:pPr>
              <w:pStyle w:val="Header"/>
              <w:spacing w:before="60" w:after="60"/>
              <w:jc w:val="center"/>
              <w:rPr>
                <w:rFonts w:cs="Arial"/>
              </w:rPr>
            </w:pPr>
            <w:r w:rsidRPr="00092EEB">
              <w:rPr>
                <w:rFonts w:cs="Arial"/>
              </w:rPr>
              <w:t>Optional</w:t>
            </w:r>
          </w:p>
        </w:tc>
        <w:tc>
          <w:tcPr>
            <w:tcW w:w="1145" w:type="dxa"/>
            <w:vMerge w:val="restart"/>
            <w:shd w:val="clear" w:color="auto" w:fill="DEEAF6" w:themeFill="accent1" w:themeFillTint="33"/>
            <w:vAlign w:val="center"/>
          </w:tcPr>
          <w:p w14:paraId="1A258C17" w14:textId="77777777" w:rsidR="00FE2A3D" w:rsidRPr="00092EEB" w:rsidRDefault="00FE2A3D" w:rsidP="001E747A">
            <w:pPr>
              <w:pStyle w:val="Header"/>
              <w:spacing w:before="60" w:after="60"/>
              <w:jc w:val="center"/>
              <w:rPr>
                <w:rFonts w:cs="Arial"/>
              </w:rPr>
            </w:pPr>
            <w:r w:rsidRPr="00092EEB">
              <w:rPr>
                <w:rFonts w:cs="Arial"/>
              </w:rPr>
              <w:t>Optional</w:t>
            </w:r>
          </w:p>
        </w:tc>
      </w:tr>
      <w:tr w:rsidR="00FE2A3D" w:rsidRPr="00092EEB" w14:paraId="323C4538" w14:textId="77777777" w:rsidTr="001E747A">
        <w:trPr>
          <w:trHeight w:val="335"/>
          <w:jc w:val="center"/>
        </w:trPr>
        <w:tc>
          <w:tcPr>
            <w:tcW w:w="1271" w:type="dxa"/>
            <w:vMerge/>
            <w:shd w:val="clear" w:color="auto" w:fill="DEEAF6" w:themeFill="accent1" w:themeFillTint="33"/>
            <w:vAlign w:val="center"/>
          </w:tcPr>
          <w:p w14:paraId="0DF6C529" w14:textId="77777777" w:rsidR="00FE2A3D" w:rsidRPr="00092EEB" w:rsidRDefault="00FE2A3D" w:rsidP="001E747A">
            <w:pPr>
              <w:pStyle w:val="Header"/>
              <w:spacing w:before="60" w:after="60"/>
              <w:jc w:val="center"/>
              <w:rPr>
                <w:rFonts w:cs="Arial"/>
              </w:rPr>
            </w:pPr>
          </w:p>
        </w:tc>
        <w:tc>
          <w:tcPr>
            <w:tcW w:w="4683" w:type="dxa"/>
            <w:shd w:val="clear" w:color="auto" w:fill="DEEAF6" w:themeFill="accent1" w:themeFillTint="33"/>
            <w:vAlign w:val="center"/>
          </w:tcPr>
          <w:p w14:paraId="4EF66B65" w14:textId="77777777" w:rsidR="00FE2A3D" w:rsidRPr="00092EEB" w:rsidRDefault="00FE2A3D" w:rsidP="001E747A">
            <w:pPr>
              <w:pStyle w:val="Header"/>
              <w:spacing w:before="60" w:after="60"/>
              <w:ind w:left="34"/>
              <w:rPr>
                <w:rFonts w:cs="Arial"/>
              </w:rPr>
            </w:pPr>
            <w:r w:rsidRPr="00092EEB">
              <w:rPr>
                <w:rFonts w:cs="Arial"/>
              </w:rPr>
              <w:t>Beam or section height equal to or greater than 230 mm</w:t>
            </w:r>
          </w:p>
        </w:tc>
        <w:tc>
          <w:tcPr>
            <w:tcW w:w="1134" w:type="dxa"/>
            <w:shd w:val="clear" w:color="auto" w:fill="DEEAF6" w:themeFill="accent1" w:themeFillTint="33"/>
            <w:vAlign w:val="center"/>
          </w:tcPr>
          <w:p w14:paraId="5E82CFB1" w14:textId="77777777" w:rsidR="00FE2A3D" w:rsidRPr="00092EEB" w:rsidRDefault="00FE2A3D" w:rsidP="001E747A">
            <w:pPr>
              <w:pStyle w:val="Header"/>
              <w:spacing w:before="60" w:after="60"/>
              <w:ind w:left="34"/>
              <w:jc w:val="center"/>
              <w:rPr>
                <w:rFonts w:cs="Arial"/>
              </w:rPr>
            </w:pPr>
            <w:r w:rsidRPr="00092EEB">
              <w:rPr>
                <w:rFonts w:cs="Arial"/>
              </w:rPr>
              <w:t>L</w:t>
            </w:r>
          </w:p>
        </w:tc>
        <w:tc>
          <w:tcPr>
            <w:tcW w:w="1276" w:type="dxa"/>
            <w:vMerge/>
            <w:shd w:val="clear" w:color="auto" w:fill="DEEAF6" w:themeFill="accent1" w:themeFillTint="33"/>
            <w:vAlign w:val="center"/>
          </w:tcPr>
          <w:p w14:paraId="5B669683" w14:textId="77777777" w:rsidR="00FE2A3D" w:rsidRPr="00092EEB" w:rsidRDefault="00FE2A3D" w:rsidP="001E747A">
            <w:pPr>
              <w:pStyle w:val="Header"/>
              <w:spacing w:before="60" w:after="60"/>
              <w:jc w:val="center"/>
              <w:rPr>
                <w:rFonts w:cs="Arial"/>
              </w:rPr>
            </w:pPr>
          </w:p>
        </w:tc>
        <w:tc>
          <w:tcPr>
            <w:tcW w:w="1145" w:type="dxa"/>
            <w:vMerge/>
            <w:shd w:val="clear" w:color="auto" w:fill="DEEAF6" w:themeFill="accent1" w:themeFillTint="33"/>
            <w:vAlign w:val="center"/>
          </w:tcPr>
          <w:p w14:paraId="09A8F7EF" w14:textId="77777777" w:rsidR="00FE2A3D" w:rsidRPr="00092EEB" w:rsidRDefault="00FE2A3D" w:rsidP="001E747A">
            <w:pPr>
              <w:pStyle w:val="Header"/>
              <w:spacing w:before="60" w:after="60"/>
              <w:jc w:val="center"/>
              <w:rPr>
                <w:rFonts w:cs="Arial"/>
              </w:rPr>
            </w:pPr>
          </w:p>
        </w:tc>
      </w:tr>
      <w:tr w:rsidR="00FE2A3D" w:rsidRPr="00092EEB" w14:paraId="418C12F8" w14:textId="77777777" w:rsidTr="001E747A">
        <w:trPr>
          <w:trHeight w:val="335"/>
          <w:jc w:val="center"/>
        </w:trPr>
        <w:tc>
          <w:tcPr>
            <w:tcW w:w="1271" w:type="dxa"/>
            <w:shd w:val="clear" w:color="auto" w:fill="auto"/>
            <w:vAlign w:val="center"/>
          </w:tcPr>
          <w:p w14:paraId="4D38546D" w14:textId="77777777" w:rsidR="00FE2A3D" w:rsidRPr="00092EEB" w:rsidRDefault="00FE2A3D" w:rsidP="001E747A">
            <w:pPr>
              <w:pStyle w:val="Header"/>
              <w:spacing w:before="60" w:after="60"/>
              <w:jc w:val="center"/>
              <w:rPr>
                <w:rFonts w:cs="Arial"/>
              </w:rPr>
            </w:pPr>
            <w:r w:rsidRPr="00092EEB">
              <w:rPr>
                <w:rFonts w:cs="Arial"/>
              </w:rPr>
              <w:t>Weldability</w:t>
            </w:r>
          </w:p>
        </w:tc>
        <w:tc>
          <w:tcPr>
            <w:tcW w:w="4683" w:type="dxa"/>
            <w:shd w:val="clear" w:color="auto" w:fill="auto"/>
            <w:vAlign w:val="center"/>
          </w:tcPr>
          <w:p w14:paraId="050BC6B2" w14:textId="77777777" w:rsidR="00FE2A3D" w:rsidRPr="00092EEB" w:rsidRDefault="00FE2A3D" w:rsidP="001E747A">
            <w:pPr>
              <w:pStyle w:val="Header"/>
              <w:spacing w:before="60" w:after="60"/>
              <w:ind w:left="34"/>
              <w:rPr>
                <w:rFonts w:cs="Arial"/>
              </w:rPr>
            </w:pPr>
            <w:r w:rsidRPr="00092EEB">
              <w:rPr>
                <w:rFonts w:cs="Arial"/>
              </w:rPr>
              <w:t>Carbon equivalent value specified in relevant standard</w:t>
            </w:r>
          </w:p>
        </w:tc>
        <w:tc>
          <w:tcPr>
            <w:tcW w:w="1134" w:type="dxa"/>
            <w:shd w:val="clear" w:color="auto" w:fill="auto"/>
            <w:vAlign w:val="center"/>
          </w:tcPr>
          <w:p w14:paraId="2FD26020" w14:textId="77777777" w:rsidR="00FE2A3D" w:rsidRPr="00092EEB" w:rsidRDefault="00FE2A3D" w:rsidP="001E747A">
            <w:pPr>
              <w:pStyle w:val="Header"/>
              <w:spacing w:before="60" w:after="60"/>
              <w:ind w:left="34"/>
              <w:jc w:val="center"/>
              <w:rPr>
                <w:rFonts w:cs="Arial"/>
              </w:rPr>
            </w:pPr>
            <w:r w:rsidRPr="00092EEB">
              <w:rPr>
                <w:rFonts w:cs="Arial"/>
              </w:rPr>
              <w:t>Y</w:t>
            </w:r>
          </w:p>
        </w:tc>
        <w:tc>
          <w:tcPr>
            <w:tcW w:w="1276" w:type="dxa"/>
            <w:shd w:val="clear" w:color="auto" w:fill="auto"/>
            <w:vAlign w:val="center"/>
          </w:tcPr>
          <w:p w14:paraId="34BE6DB6" w14:textId="77777777" w:rsidR="00FE2A3D" w:rsidRPr="00092EEB" w:rsidRDefault="00FE2A3D" w:rsidP="001E747A">
            <w:pPr>
              <w:pStyle w:val="Header"/>
              <w:spacing w:before="60" w:after="60"/>
              <w:jc w:val="center"/>
              <w:rPr>
                <w:rFonts w:cs="Arial"/>
              </w:rPr>
            </w:pPr>
            <w:r w:rsidRPr="00092EEB">
              <w:rPr>
                <w:rFonts w:cs="Arial"/>
              </w:rPr>
              <w:t>Optional</w:t>
            </w:r>
          </w:p>
        </w:tc>
        <w:tc>
          <w:tcPr>
            <w:tcW w:w="1145" w:type="dxa"/>
            <w:shd w:val="clear" w:color="auto" w:fill="auto"/>
            <w:vAlign w:val="center"/>
          </w:tcPr>
          <w:p w14:paraId="0883C0E7" w14:textId="77777777" w:rsidR="00FE2A3D" w:rsidRPr="00092EEB" w:rsidRDefault="00FE2A3D" w:rsidP="001E747A">
            <w:pPr>
              <w:pStyle w:val="Header"/>
              <w:spacing w:before="60" w:after="60"/>
              <w:jc w:val="center"/>
              <w:rPr>
                <w:rFonts w:cs="Arial"/>
              </w:rPr>
            </w:pPr>
            <w:r w:rsidRPr="00092EEB">
              <w:rPr>
                <w:rFonts w:cs="Arial"/>
              </w:rPr>
              <w:t>Optional</w:t>
            </w:r>
          </w:p>
        </w:tc>
      </w:tr>
    </w:tbl>
    <w:p w14:paraId="5A166CB3" w14:textId="77777777" w:rsidR="00FE2A3D" w:rsidRDefault="00FE2A3D" w:rsidP="00C01F98"/>
    <w:p w14:paraId="1A068240" w14:textId="77777777" w:rsidR="00603E09" w:rsidRDefault="00603E09" w:rsidP="00C01F98">
      <w:pPr>
        <w:rPr>
          <w:snapToGrid w:val="0"/>
        </w:rPr>
      </w:pPr>
    </w:p>
    <w:p w14:paraId="1A068241" w14:textId="6688C037" w:rsidR="00891546" w:rsidRDefault="00400213" w:rsidP="006C4A3A">
      <w:pPr>
        <w:rPr>
          <w:lang w:eastAsia="en-AU"/>
        </w:rPr>
      </w:pPr>
      <w:r>
        <w:rPr>
          <w:lang w:eastAsia="en-AU"/>
        </w:rPr>
        <w:t xml:space="preserve">In constructing </w:t>
      </w:r>
      <w:proofErr w:type="gramStart"/>
      <w:r>
        <w:rPr>
          <w:lang w:eastAsia="en-AU"/>
        </w:rPr>
        <w:t>a</w:t>
      </w:r>
      <w:proofErr w:type="gramEnd"/>
      <w:r>
        <w:rPr>
          <w:lang w:eastAsia="en-AU"/>
        </w:rPr>
        <w:t xml:space="preserve"> MCC, use a </w:t>
      </w:r>
      <w:r w:rsidR="00FD7FB7">
        <w:rPr>
          <w:rFonts w:cs="Arial"/>
          <w:lang w:eastAsia="en-AU"/>
        </w:rPr>
        <w:t>‘</w:t>
      </w:r>
      <w:r>
        <w:rPr>
          <w:lang w:eastAsia="en-AU"/>
        </w:rPr>
        <w:t>-</w:t>
      </w:r>
      <w:r w:rsidR="00FD7FB7">
        <w:rPr>
          <w:rFonts w:cs="Arial"/>
          <w:lang w:eastAsia="en-AU"/>
        </w:rPr>
        <w:t>’</w:t>
      </w:r>
      <w:r>
        <w:rPr>
          <w:rFonts w:cs="Arial"/>
          <w:lang w:eastAsia="en-AU"/>
        </w:rPr>
        <w:t xml:space="preserve"> between each category. For </w:t>
      </w:r>
      <w:r w:rsidRPr="00FE2A3D">
        <w:rPr>
          <w:lang w:eastAsia="en-AU"/>
        </w:rPr>
        <w:t>example: [</w:t>
      </w:r>
      <w:r w:rsidR="00FE2A3D" w:rsidRPr="00FE2A3D">
        <w:rPr>
          <w:lang w:eastAsia="en-AU"/>
        </w:rPr>
        <w:t>P-I-A-A-1-S-Y</w:t>
      </w:r>
      <w:r w:rsidRPr="00FE2A3D">
        <w:rPr>
          <w:lang w:eastAsia="en-AU"/>
        </w:rPr>
        <w:t>]</w:t>
      </w:r>
    </w:p>
    <w:p w14:paraId="1A068242" w14:textId="77777777" w:rsidR="00891546" w:rsidRDefault="00891546" w:rsidP="006C4A3A">
      <w:pPr>
        <w:rPr>
          <w:lang w:eastAsia="en-AU"/>
        </w:rPr>
      </w:pPr>
    </w:p>
    <w:p w14:paraId="1A068245" w14:textId="606A4413"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5" w:name="_Toc506971828"/>
      <w:bookmarkStart w:id="36" w:name="_Toc508203820"/>
      <w:bookmarkStart w:id="37" w:name="_Toc508290354"/>
      <w:bookmarkStart w:id="38" w:name="_Toc515637638"/>
      <w:bookmarkStart w:id="39" w:name="_Ref520387621"/>
      <w:bookmarkStart w:id="40" w:name="_Toc104457343"/>
      <w:r>
        <w:lastRenderedPageBreak/>
        <w:t>Section A</w:t>
      </w:r>
      <w:r>
        <w:br/>
        <w:t xml:space="preserve">Company </w:t>
      </w:r>
      <w:bookmarkEnd w:id="35"/>
      <w:bookmarkEnd w:id="36"/>
      <w:bookmarkEnd w:id="37"/>
      <w:bookmarkEnd w:id="38"/>
      <w:r w:rsidR="00D9744D">
        <w:t xml:space="preserve">and supplier </w:t>
      </w:r>
      <w:r w:rsidR="00E82A0A">
        <w:t>i</w:t>
      </w:r>
      <w:r w:rsidR="00B61189">
        <w:t>nformation</w:t>
      </w:r>
      <w:bookmarkEnd w:id="39"/>
      <w:bookmarkEnd w:id="40"/>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importation costs (</w:t>
      </w:r>
      <w:proofErr w:type="gramStart"/>
      <w:r w:rsidR="00C333F7">
        <w:rPr>
          <w:snapToGrid w:val="0"/>
        </w:rPr>
        <w:t>e.g.</w:t>
      </w:r>
      <w:proofErr w:type="gramEnd"/>
      <w:r w:rsidR="00C333F7">
        <w:rPr>
          <w:snapToGrid w:val="0"/>
        </w:rPr>
        <w:t xml:space="preserve">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 xml:space="preserve">Include details of whether your company can be described as a trader, distributor, </w:t>
      </w:r>
      <w:proofErr w:type="gramStart"/>
      <w:r>
        <w:rPr>
          <w:snapToGrid w:val="0"/>
        </w:rPr>
        <w:t>retailer</w:t>
      </w:r>
      <w:proofErr w:type="gramEnd"/>
      <w:r>
        <w:rPr>
          <w:snapToGrid w:val="0"/>
        </w:rPr>
        <w:t xml:space="preserve">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Default="00931BC3" w:rsidP="00441EA0">
      <w:pPr>
        <w:pStyle w:val="ListParagraph"/>
        <w:numPr>
          <w:ilvl w:val="0"/>
          <w:numId w:val="46"/>
        </w:numPr>
      </w:pPr>
      <w:r w:rsidRPr="00931BC3">
        <w:t xml:space="preserve">This worksheet lists </w:t>
      </w:r>
      <w:r>
        <w:t>your suppliers and manufacture</w:t>
      </w:r>
      <w:r w:rsidR="0085783F">
        <w:t>r</w:t>
      </w:r>
      <w:r w:rsidR="00ED15E6">
        <w:t xml:space="preserve">s (if different), </w:t>
      </w:r>
      <w:r>
        <w:t>their contact details</w:t>
      </w:r>
      <w:r w:rsidRPr="00904AE6">
        <w:t xml:space="preserve"> </w:t>
      </w:r>
      <w:r w:rsidRPr="00FE2A3D">
        <w:t>and an estimation of the import volumes from each supplier of the goods over the period.</w:t>
      </w:r>
    </w:p>
    <w:p w14:paraId="1A068268" w14:textId="77777777" w:rsidR="005717B9" w:rsidRDefault="005717B9" w:rsidP="005717B9"/>
    <w:p w14:paraId="1A068269" w14:textId="71144795" w:rsidR="000827B9" w:rsidRDefault="00A165CB" w:rsidP="005717B9">
      <w:pPr>
        <w:pStyle w:val="ListParagraph"/>
        <w:numPr>
          <w:ilvl w:val="0"/>
          <w:numId w:val="30"/>
        </w:numPr>
      </w:pPr>
      <w:r>
        <w:t>The commission</w:t>
      </w:r>
      <w:r w:rsidR="005717B9">
        <w:t xml:space="preserve"> may seek to visit your company to discuss the case and to verify the data submitted in your import questionnaire responses</w:t>
      </w:r>
      <w:r w:rsidR="00FE2A3D">
        <w:t xml:space="preserve">. </w:t>
      </w:r>
      <w:r w:rsidR="000827B9">
        <w:t>Are there any</w:t>
      </w:r>
      <w:r w:rsidR="005717B9">
        <w:t xml:space="preserve"> dates </w:t>
      </w:r>
      <w:r w:rsidR="000827B9">
        <w:t xml:space="preserve">that </w:t>
      </w:r>
      <w:r w:rsidR="005717B9">
        <w:t xml:space="preserve">are </w:t>
      </w:r>
      <w:r w:rsidR="000827B9">
        <w:t>un</w:t>
      </w:r>
      <w:r w:rsidR="005717B9">
        <w:t xml:space="preserve">suitable for this visit?  </w:t>
      </w:r>
    </w:p>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1" w:name="_Ref520387649"/>
      <w:bookmarkStart w:id="42" w:name="_Toc506971835"/>
      <w:bookmarkStart w:id="43" w:name="_Toc508203827"/>
      <w:bookmarkStart w:id="44" w:name="_Toc508290361"/>
      <w:bookmarkStart w:id="45" w:name="_Toc515637645"/>
      <w:bookmarkStart w:id="46" w:name="_Toc104457344"/>
      <w:r>
        <w:lastRenderedPageBreak/>
        <w:t>Section B</w:t>
      </w:r>
      <w:r>
        <w:br/>
      </w:r>
      <w:bookmarkEnd w:id="41"/>
      <w:bookmarkEnd w:id="42"/>
      <w:bookmarkEnd w:id="43"/>
      <w:bookmarkEnd w:id="44"/>
      <w:bookmarkEnd w:id="45"/>
      <w:r w:rsidR="00B93D19">
        <w:t xml:space="preserve">Imports </w:t>
      </w:r>
      <w:r w:rsidR="00C333F7" w:rsidRPr="009D4791">
        <w:t>&amp; forward orders</w:t>
      </w:r>
      <w:bookmarkEnd w:id="46"/>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 xml:space="preserve">fter receiving </w:t>
      </w:r>
      <w:proofErr w:type="gramStart"/>
      <w:r w:rsidRPr="00877C00">
        <w:t>Part</w:t>
      </w:r>
      <w:proofErr w:type="gramEnd"/>
      <w:r w:rsidRPr="00877C00">
        <w:t xml:space="preserve">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7774AE">
      <w:pPr>
        <w:pStyle w:val="ListParagraph"/>
        <w:numPr>
          <w:ilvl w:val="0"/>
          <w:numId w:val="47"/>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02F7183D" w:rsidR="00075E32" w:rsidRPr="00297CC5"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7" w:name="_Toc104457345"/>
      <w:r>
        <w:lastRenderedPageBreak/>
        <w:t>Section C</w:t>
      </w:r>
      <w:r>
        <w:br/>
        <w:t>Sales and SG&amp;A</w:t>
      </w:r>
      <w:bookmarkEnd w:id="47"/>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77777777" w:rsidR="00075E32" w:rsidRPr="00C333F7" w:rsidRDefault="00075E32" w:rsidP="00C333F7"/>
    <w:p w14:paraId="1A068285" w14:textId="58FBD389"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31958B1D"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w:t>
      </w:r>
      <w:proofErr w:type="gramStart"/>
      <w:r w:rsidRPr="003735F5">
        <w:t>i</w:t>
      </w:r>
      <w:r>
        <w:t>.</w:t>
      </w:r>
      <w:r w:rsidRPr="003735F5">
        <w:t>e.</w:t>
      </w:r>
      <w:proofErr w:type="gramEnd"/>
      <w:r w:rsidRPr="003735F5">
        <w:t xml:space="preserv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0E5991E9"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3512E600"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3FCB779A" w:rsidR="00650FC5" w:rsidRPr="00F0217A" w:rsidRDefault="00650FC5" w:rsidP="00650FC5">
      <w:pPr>
        <w:pStyle w:val="ListParagraph"/>
        <w:numPr>
          <w:ilvl w:val="0"/>
          <w:numId w:val="21"/>
        </w:numPr>
      </w:pPr>
      <w:r>
        <w:t xml:space="preserve">This worksheet also requests order details where the sale can be directly linked to an </w:t>
      </w:r>
      <w:r w:rsidRPr="00F0217A">
        <w:t>importation.</w:t>
      </w:r>
    </w:p>
    <w:p w14:paraId="1A068289" w14:textId="22EF11F6" w:rsidR="00E905E6" w:rsidRPr="00F0217A" w:rsidRDefault="00E905E6" w:rsidP="00441EA0">
      <w:pPr>
        <w:pStyle w:val="ListParagraph"/>
        <w:numPr>
          <w:ilvl w:val="0"/>
          <w:numId w:val="21"/>
        </w:numPr>
        <w:rPr>
          <w:szCs w:val="24"/>
        </w:rPr>
      </w:pPr>
      <w:bookmarkStart w:id="48" w:name="_Hlk151397684"/>
      <w:r w:rsidRPr="00F0217A">
        <w:t xml:space="preserve">This worksheet must also include </w:t>
      </w:r>
      <w:r w:rsidR="007774AE" w:rsidRPr="00F0217A">
        <w:t>sales</w:t>
      </w:r>
      <w:r w:rsidRPr="00F0217A">
        <w:t xml:space="preserve"> of the goods that have been exempted from </w:t>
      </w:r>
      <w:proofErr w:type="spellStart"/>
      <w:r w:rsidRPr="00F0217A">
        <w:t>anti-dumping</w:t>
      </w:r>
      <w:proofErr w:type="spellEnd"/>
      <w:r w:rsidRPr="00F0217A">
        <w:t xml:space="preserve"> duties under 8(7) of the Customs Tariff (Anti-Dumping) Act 1975.</w:t>
      </w:r>
      <w:r w:rsidR="005C28F4" w:rsidRPr="008D4524">
        <w:rPr>
          <w:rStyle w:val="FootnoteReference"/>
          <w:iCs/>
          <w:szCs w:val="24"/>
        </w:rPr>
        <w:footnoteReference w:id="2"/>
      </w:r>
      <w:r w:rsidR="005C28F4" w:rsidRPr="008D4524">
        <w:rPr>
          <w:szCs w:val="24"/>
        </w:rPr>
        <w:t xml:space="preserve"> </w:t>
      </w:r>
      <w:r w:rsidRPr="00F0217A">
        <w:rPr>
          <w:szCs w:val="24"/>
        </w:rPr>
        <w:t xml:space="preserve"> </w:t>
      </w:r>
    </w:p>
    <w:bookmarkEnd w:id="48"/>
    <w:p w14:paraId="1A06828A" w14:textId="018D314C"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79C39B04" w:rsidR="00E905E6" w:rsidRPr="00C63312" w:rsidRDefault="00E905E6" w:rsidP="00E905E6"/>
    <w:p w14:paraId="1A06828D" w14:textId="5403CFAD"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66B14EDA" w:rsidR="00E905E6" w:rsidRDefault="00E905E6" w:rsidP="00441EA0">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632AD111" w14:textId="77777777"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debt </w:t>
      </w:r>
    </w:p>
    <w:p w14:paraId="1007EBE0" w14:textId="76F70EEE" w:rsidR="005F46DE" w:rsidRDefault="005F46DE" w:rsidP="005F46DE">
      <w:pPr>
        <w:pStyle w:val="ListParagraph"/>
        <w:numPr>
          <w:ilvl w:val="1"/>
          <w:numId w:val="36"/>
        </w:numPr>
      </w:pPr>
      <w:r>
        <w:t xml:space="preserve">any other income/expense not directly/indirectly related to the import or sale of the </w:t>
      </w:r>
      <w:proofErr w:type="gramStart"/>
      <w:r>
        <w:t>goods</w:t>
      </w:r>
      <w:proofErr w:type="gramEnd"/>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9" w:name="_Toc104457346"/>
      <w:r>
        <w:lastRenderedPageBreak/>
        <w:t xml:space="preserve">Section </w:t>
      </w:r>
      <w:r w:rsidR="00B93D19">
        <w:t>D</w:t>
      </w:r>
      <w:r w:rsidR="00D9744D">
        <w:br/>
      </w:r>
      <w:r>
        <w:t>Further</w:t>
      </w:r>
      <w:r w:rsidR="00F94714">
        <w:t xml:space="preserve"> company and import</w:t>
      </w:r>
      <w:r w:rsidR="00D9744D">
        <w:t xml:space="preserve"> information</w:t>
      </w:r>
      <w:bookmarkEnd w:id="49"/>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Is your company part of a group (</w:t>
      </w:r>
      <w:proofErr w:type="gramStart"/>
      <w:r>
        <w:rPr>
          <w:snapToGrid w:val="0"/>
        </w:rPr>
        <w:t>e.g.</w:t>
      </w:r>
      <w:proofErr w:type="gramEnd"/>
      <w:r>
        <w:rPr>
          <w:snapToGrid w:val="0"/>
        </w:rPr>
        <w:t xml:space="preserve">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3"/>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 xml:space="preserve">Does your company produce brochures, </w:t>
      </w:r>
      <w:proofErr w:type="gramStart"/>
      <w:r>
        <w:rPr>
          <w:snapToGrid w:val="0"/>
        </w:rPr>
        <w:t>pamphlets</w:t>
      </w:r>
      <w:proofErr w:type="gramEnd"/>
      <w:r>
        <w:rPr>
          <w:snapToGrid w:val="0"/>
        </w:rPr>
        <w:t xml:space="preserve">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3B5648">
      <w:pPr>
        <w:pStyle w:val="ListParagraph"/>
        <w:numPr>
          <w:ilvl w:val="0"/>
          <w:numId w:val="45"/>
        </w:numPr>
      </w:pPr>
      <w:r>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w:t>
      </w:r>
      <w:proofErr w:type="gramStart"/>
      <w:r w:rsidR="00C00A82">
        <w:t>e.g.</w:t>
      </w:r>
      <w:proofErr w:type="gramEnd"/>
      <w:r w:rsidR="00C00A82">
        <w:t xml:space="preserve">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Order placement process</w:t>
      </w:r>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time</w:t>
      </w:r>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t>Do your pay you</w:t>
      </w:r>
      <w:r w:rsidR="0084077B">
        <w:t>r suppliers from</w:t>
      </w:r>
      <w:r>
        <w:t xml:space="preserve"> a foreign currency denominated account? If yes, provide </w:t>
      </w:r>
      <w:proofErr w:type="gramStart"/>
      <w:r>
        <w:t>details</w:t>
      </w:r>
      <w:proofErr w:type="gramEnd"/>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 xml:space="preserve">provide </w:t>
      </w:r>
      <w:proofErr w:type="gramStart"/>
      <w:r w:rsidR="00E37970">
        <w:t>details</w:t>
      </w:r>
      <w:proofErr w:type="gramEnd"/>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F94714">
      <w:pPr>
        <w:pStyle w:val="ListParagraph"/>
        <w:numPr>
          <w:ilvl w:val="0"/>
          <w:numId w:val="45"/>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lastRenderedPageBreak/>
        <w:t>Purchase order</w:t>
      </w:r>
      <w:r>
        <w:t xml:space="preserve"> and o</w:t>
      </w:r>
      <w:r w:rsidRPr="007422EE">
        <w:t>rder confirmation</w:t>
      </w:r>
    </w:p>
    <w:p w14:paraId="1A0682EC" w14:textId="77777777" w:rsidR="001A4735" w:rsidRPr="001636D4" w:rsidRDefault="001A4735" w:rsidP="00441EA0">
      <w:pPr>
        <w:pStyle w:val="bullet"/>
        <w:numPr>
          <w:ilvl w:val="0"/>
          <w:numId w:val="7"/>
        </w:numPr>
      </w:pPr>
      <w:r w:rsidRPr="001636D4">
        <w:t>Commercial invoice</w:t>
      </w:r>
      <w:r>
        <w:t xml:space="preserve"> and packing </w:t>
      </w:r>
      <w:proofErr w:type="gramStart"/>
      <w:r>
        <w:t>list</w:t>
      </w:r>
      <w:proofErr w:type="gramEnd"/>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 xml:space="preserve">ank </w:t>
      </w:r>
      <w:proofErr w:type="gramStart"/>
      <w:r>
        <w:t>charges</w:t>
      </w:r>
      <w:proofErr w:type="gramEnd"/>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 xml:space="preserve">Import broker’s </w:t>
      </w:r>
      <w:proofErr w:type="gramStart"/>
      <w:r>
        <w:t>fees</w:t>
      </w:r>
      <w:proofErr w:type="gramEnd"/>
    </w:p>
    <w:p w14:paraId="1A0682F2" w14:textId="77777777" w:rsidR="004B78AC" w:rsidRDefault="004B78AC" w:rsidP="004B78AC">
      <w:pPr>
        <w:pStyle w:val="bullet"/>
        <w:numPr>
          <w:ilvl w:val="1"/>
          <w:numId w:val="7"/>
        </w:numPr>
      </w:pPr>
      <w:r>
        <w:t xml:space="preserve">Import </w:t>
      </w:r>
      <w:proofErr w:type="gramStart"/>
      <w:r>
        <w:t>duties</w:t>
      </w:r>
      <w:proofErr w:type="gramEnd"/>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50" w:name="_Toc104457347"/>
      <w:r>
        <w:lastRenderedPageBreak/>
        <w:t>Section E</w:t>
      </w:r>
      <w:r w:rsidR="00F94714">
        <w:br/>
        <w:t xml:space="preserve">Further </w:t>
      </w:r>
      <w:r w:rsidR="00163775">
        <w:t>sales</w:t>
      </w:r>
      <w:r w:rsidR="00F94714">
        <w:t xml:space="preserve"> information</w:t>
      </w:r>
      <w:bookmarkEnd w:id="50"/>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w:t>
      </w:r>
      <w:proofErr w:type="gramStart"/>
      <w:r w:rsidR="00B93D19">
        <w:t>i.e.</w:t>
      </w:r>
      <w:proofErr w:type="gramEnd"/>
      <w:r w:rsidR="00B93D19">
        <w:t xml:space="preserv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Order placement process</w:t>
      </w:r>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time</w:t>
      </w:r>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Purchase order and order confirmation</w:t>
      </w:r>
    </w:p>
    <w:p w14:paraId="1A068315" w14:textId="77777777" w:rsidR="00D5168C" w:rsidRPr="00215160" w:rsidRDefault="00D5168C" w:rsidP="00441EA0">
      <w:pPr>
        <w:pStyle w:val="bullet"/>
        <w:numPr>
          <w:ilvl w:val="0"/>
          <w:numId w:val="7"/>
        </w:numPr>
      </w:pPr>
      <w:r w:rsidRPr="00215160">
        <w:t xml:space="preserve">Commercial invoice and packing </w:t>
      </w:r>
      <w:proofErr w:type="gramStart"/>
      <w:r w:rsidRPr="00215160">
        <w:t>list</w:t>
      </w:r>
      <w:proofErr w:type="gramEnd"/>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 xml:space="preserve">ank </w:t>
      </w:r>
      <w:proofErr w:type="gramStart"/>
      <w:r w:rsidRPr="00215160">
        <w:t>charges</w:t>
      </w:r>
      <w:proofErr w:type="gramEnd"/>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w:t>
      </w:r>
      <w:proofErr w:type="gramStart"/>
      <w:r w:rsidRPr="001F538E">
        <w:t>i.e.</w:t>
      </w:r>
      <w:proofErr w:type="gramEnd"/>
      <w:r w:rsidRPr="001F538E">
        <w:t xml:space="preserv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8334" w14:textId="77777777" w:rsidR="00884389" w:rsidRDefault="00884389">
      <w:r>
        <w:separator/>
      </w:r>
    </w:p>
    <w:p w14:paraId="1A068335" w14:textId="77777777" w:rsidR="00884389" w:rsidRDefault="00884389"/>
  </w:endnote>
  <w:endnote w:type="continuationSeparator" w:id="0">
    <w:p w14:paraId="1A068336" w14:textId="77777777" w:rsidR="00884389" w:rsidRDefault="00884389">
      <w:r>
        <w:continuationSeparator/>
      </w:r>
    </w:p>
    <w:p w14:paraId="1A068337" w14:textId="77777777" w:rsidR="00884389" w:rsidRDefault="00884389"/>
  </w:endnote>
  <w:endnote w:type="continuationNotice" w:id="1">
    <w:p w14:paraId="1A068338" w14:textId="77777777" w:rsidR="00884389" w:rsidRDefault="00884389"/>
    <w:p w14:paraId="1A068339" w14:textId="77777777" w:rsidR="00884389" w:rsidRDefault="00884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77777777" w:rsidR="00884389" w:rsidRPr="00C758F7" w:rsidRDefault="00884389"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77777777" w:rsidR="00884389" w:rsidRPr="000534C1" w:rsidRDefault="00884389"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832E" w14:textId="77777777" w:rsidR="00884389" w:rsidRDefault="00884389">
      <w:r>
        <w:separator/>
      </w:r>
    </w:p>
    <w:p w14:paraId="1A06832F" w14:textId="77777777" w:rsidR="00884389" w:rsidRDefault="00884389"/>
  </w:footnote>
  <w:footnote w:type="continuationSeparator" w:id="0">
    <w:p w14:paraId="1A068330" w14:textId="77777777" w:rsidR="00884389" w:rsidRDefault="00884389">
      <w:r>
        <w:continuationSeparator/>
      </w:r>
    </w:p>
    <w:p w14:paraId="1A068331" w14:textId="77777777" w:rsidR="00884389" w:rsidRDefault="00884389"/>
  </w:footnote>
  <w:footnote w:type="continuationNotice" w:id="1">
    <w:p w14:paraId="1A068332" w14:textId="77777777" w:rsidR="00884389" w:rsidRDefault="00884389"/>
    <w:p w14:paraId="1A068333" w14:textId="77777777" w:rsidR="00884389" w:rsidRDefault="00884389"/>
  </w:footnote>
  <w:footnote w:id="2">
    <w:p w14:paraId="6BAE0D06" w14:textId="77777777" w:rsidR="005C28F4" w:rsidRDefault="005C28F4" w:rsidP="005C28F4">
      <w:pPr>
        <w:pStyle w:val="FootnoteText"/>
      </w:pPr>
      <w:r>
        <w:rPr>
          <w:rStyle w:val="FootnoteReference"/>
        </w:rPr>
        <w:footnoteRef/>
      </w:r>
      <w:r>
        <w:t xml:space="preserve"> </w:t>
      </w:r>
      <w:r w:rsidRPr="000E3694">
        <w:t xml:space="preserve">Certain </w:t>
      </w:r>
      <w:r>
        <w:t xml:space="preserve">types of </w:t>
      </w:r>
      <w:r w:rsidRPr="000E3694">
        <w:t xml:space="preserve">HRS </w:t>
      </w:r>
      <w:r>
        <w:t xml:space="preserve">are </w:t>
      </w:r>
      <w:r w:rsidRPr="000E3694">
        <w:t>exempt from the measures (</w:t>
      </w:r>
      <w:hyperlink r:id="rId1" w:history="1">
        <w:r w:rsidRPr="000E3694">
          <w:rPr>
            <w:rStyle w:val="Hyperlink"/>
          </w:rPr>
          <w:t>ADN No 2019/153</w:t>
        </w:r>
      </w:hyperlink>
      <w:r w:rsidRPr="000E3694">
        <w:t>).</w:t>
      </w:r>
    </w:p>
  </w:footnote>
  <w:footnote w:id="3">
    <w:p w14:paraId="1A068344" w14:textId="6F6B0411"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r w:rsidR="007A3662">
        <w:rPr>
          <w:snapToGrid w:val="0"/>
        </w:rPr>
        <w:t>can</w:t>
      </w:r>
      <w:r w:rsidRPr="001F538E">
        <w:rPr>
          <w:snapToGrid w:val="0"/>
        </w:rPr>
        <w:t xml:space="preserve"> cast, or control the casting of, 5% or more of the maximum </w:t>
      </w:r>
      <w:r w:rsidR="007A3662" w:rsidRPr="001F538E">
        <w:rPr>
          <w:snapToGrid w:val="0"/>
        </w:rPr>
        <w:t>number</w:t>
      </w:r>
      <w:r w:rsidRPr="001F538E">
        <w:rPr>
          <w:snapToGrid w:val="0"/>
        </w:rPr>
        <w:t xml:space="preserve">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77777777" w:rsidR="00884389" w:rsidRPr="00C758F7" w:rsidRDefault="00884389"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77777777" w:rsidR="00884389" w:rsidRDefault="00884389" w:rsidP="007B1D24">
    <w:pPr>
      <w:pStyle w:val="Header"/>
      <w:jc w:val="center"/>
      <w:rPr>
        <w:b/>
        <w:color w:val="FF0000"/>
        <w:lang w:val="en-GB"/>
      </w:rPr>
    </w:pPr>
    <w:r>
      <w:rPr>
        <w:b/>
        <w:color w:val="FF0000"/>
        <w:lang w:val="en-GB"/>
      </w:rPr>
      <w:t>OFFICIAL: Sensitive</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8"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4"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7"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8"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7"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48"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26"/>
  </w:num>
  <w:num w:numId="2" w16cid:durableId="109401555">
    <w:abstractNumId w:val="6"/>
  </w:num>
  <w:num w:numId="3" w16cid:durableId="1864244430">
    <w:abstractNumId w:val="36"/>
  </w:num>
  <w:num w:numId="4" w16cid:durableId="411318089">
    <w:abstractNumId w:val="25"/>
  </w:num>
  <w:num w:numId="5" w16cid:durableId="1708288220">
    <w:abstractNumId w:val="3"/>
  </w:num>
  <w:num w:numId="6" w16cid:durableId="1245263117">
    <w:abstractNumId w:val="10"/>
  </w:num>
  <w:num w:numId="7" w16cid:durableId="218248938">
    <w:abstractNumId w:val="52"/>
  </w:num>
  <w:num w:numId="8" w16cid:durableId="1365403249">
    <w:abstractNumId w:val="56"/>
  </w:num>
  <w:num w:numId="9" w16cid:durableId="559750512">
    <w:abstractNumId w:val="11"/>
  </w:num>
  <w:num w:numId="10" w16cid:durableId="1882667723">
    <w:abstractNumId w:val="55"/>
  </w:num>
  <w:num w:numId="11" w16cid:durableId="1853714171">
    <w:abstractNumId w:val="22"/>
  </w:num>
  <w:num w:numId="12" w16cid:durableId="924263522">
    <w:abstractNumId w:val="42"/>
  </w:num>
  <w:num w:numId="13" w16cid:durableId="1915893510">
    <w:abstractNumId w:val="53"/>
  </w:num>
  <w:num w:numId="14" w16cid:durableId="736829994">
    <w:abstractNumId w:val="48"/>
  </w:num>
  <w:num w:numId="15" w16cid:durableId="1982806315">
    <w:abstractNumId w:val="38"/>
  </w:num>
  <w:num w:numId="16" w16cid:durableId="1288462840">
    <w:abstractNumId w:val="45"/>
  </w:num>
  <w:num w:numId="17" w16cid:durableId="1650207298">
    <w:abstractNumId w:val="43"/>
  </w:num>
  <w:num w:numId="18" w16cid:durableId="1044479511">
    <w:abstractNumId w:val="30"/>
  </w:num>
  <w:num w:numId="19" w16cid:durableId="2080861678">
    <w:abstractNumId w:val="8"/>
  </w:num>
  <w:num w:numId="20" w16cid:durableId="230510682">
    <w:abstractNumId w:val="39"/>
  </w:num>
  <w:num w:numId="21" w16cid:durableId="50231307">
    <w:abstractNumId w:val="54"/>
  </w:num>
  <w:num w:numId="22" w16cid:durableId="1079526276">
    <w:abstractNumId w:val="31"/>
  </w:num>
  <w:num w:numId="23" w16cid:durableId="1628975813">
    <w:abstractNumId w:val="1"/>
  </w:num>
  <w:num w:numId="24" w16cid:durableId="722018814">
    <w:abstractNumId w:val="34"/>
  </w:num>
  <w:num w:numId="25" w16cid:durableId="2056656714">
    <w:abstractNumId w:val="0"/>
  </w:num>
  <w:num w:numId="26" w16cid:durableId="193663152">
    <w:abstractNumId w:val="2"/>
  </w:num>
  <w:num w:numId="27" w16cid:durableId="1152255214">
    <w:abstractNumId w:val="14"/>
  </w:num>
  <w:num w:numId="28" w16cid:durableId="1242257987">
    <w:abstractNumId w:val="44"/>
  </w:num>
  <w:num w:numId="29" w16cid:durableId="524900924">
    <w:abstractNumId w:val="35"/>
  </w:num>
  <w:num w:numId="30" w16cid:durableId="1539467095">
    <w:abstractNumId w:val="46"/>
  </w:num>
  <w:num w:numId="31" w16cid:durableId="925577331">
    <w:abstractNumId w:val="5"/>
  </w:num>
  <w:num w:numId="32" w16cid:durableId="2121878227">
    <w:abstractNumId w:val="41"/>
  </w:num>
  <w:num w:numId="33" w16cid:durableId="1851479920">
    <w:abstractNumId w:val="37"/>
  </w:num>
  <w:num w:numId="34" w16cid:durableId="1696617466">
    <w:abstractNumId w:val="49"/>
  </w:num>
  <w:num w:numId="35" w16cid:durableId="105975512">
    <w:abstractNumId w:val="24"/>
  </w:num>
  <w:num w:numId="36" w16cid:durableId="1430927097">
    <w:abstractNumId w:val="13"/>
  </w:num>
  <w:num w:numId="37" w16cid:durableId="699861828">
    <w:abstractNumId w:val="50"/>
  </w:num>
  <w:num w:numId="38" w16cid:durableId="452208324">
    <w:abstractNumId w:val="28"/>
  </w:num>
  <w:num w:numId="39" w16cid:durableId="1067073987">
    <w:abstractNumId w:val="12"/>
  </w:num>
  <w:num w:numId="40" w16cid:durableId="568808950">
    <w:abstractNumId w:val="32"/>
  </w:num>
  <w:num w:numId="41" w16cid:durableId="496923171">
    <w:abstractNumId w:val="15"/>
  </w:num>
  <w:num w:numId="42" w16cid:durableId="1757170597">
    <w:abstractNumId w:val="17"/>
  </w:num>
  <w:num w:numId="43" w16cid:durableId="24522956">
    <w:abstractNumId w:val="47"/>
  </w:num>
  <w:num w:numId="44" w16cid:durableId="273634198">
    <w:abstractNumId w:val="57"/>
  </w:num>
  <w:num w:numId="45" w16cid:durableId="696584030">
    <w:abstractNumId w:val="21"/>
  </w:num>
  <w:num w:numId="46" w16cid:durableId="82922229">
    <w:abstractNumId w:val="18"/>
  </w:num>
  <w:num w:numId="47" w16cid:durableId="1286619561">
    <w:abstractNumId w:val="9"/>
  </w:num>
  <w:num w:numId="48" w16cid:durableId="973873749">
    <w:abstractNumId w:val="40"/>
  </w:num>
  <w:num w:numId="49" w16cid:durableId="516504556">
    <w:abstractNumId w:val="16"/>
  </w:num>
  <w:num w:numId="50" w16cid:durableId="1117258790">
    <w:abstractNumId w:val="20"/>
  </w:num>
  <w:num w:numId="51" w16cid:durableId="1415668740">
    <w:abstractNumId w:val="19"/>
  </w:num>
  <w:num w:numId="52" w16cid:durableId="1542741730">
    <w:abstractNumId w:val="27"/>
  </w:num>
  <w:num w:numId="53" w16cid:durableId="1354959335">
    <w:abstractNumId w:val="23"/>
  </w:num>
  <w:num w:numId="54" w16cid:durableId="1571184775">
    <w:abstractNumId w:val="51"/>
  </w:num>
  <w:num w:numId="55" w16cid:durableId="1295912562">
    <w:abstractNumId w:val="4"/>
  </w:num>
  <w:num w:numId="56" w16cid:durableId="479081585">
    <w:abstractNumId w:val="33"/>
  </w:num>
  <w:num w:numId="57" w16cid:durableId="1164317323">
    <w:abstractNumId w:val="7"/>
  </w:num>
  <w:num w:numId="58" w16cid:durableId="451094123">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8CC"/>
    <w:rsid w:val="0009232D"/>
    <w:rsid w:val="00094A8C"/>
    <w:rsid w:val="000958DB"/>
    <w:rsid w:val="000963CD"/>
    <w:rsid w:val="000A32B8"/>
    <w:rsid w:val="000A3FF8"/>
    <w:rsid w:val="000A6818"/>
    <w:rsid w:val="000B0D5C"/>
    <w:rsid w:val="000B4058"/>
    <w:rsid w:val="000B49B8"/>
    <w:rsid w:val="000C77A0"/>
    <w:rsid w:val="000D09B2"/>
    <w:rsid w:val="000D2FD8"/>
    <w:rsid w:val="000D5213"/>
    <w:rsid w:val="000D75F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4C64"/>
    <w:rsid w:val="00175127"/>
    <w:rsid w:val="0018230A"/>
    <w:rsid w:val="00182832"/>
    <w:rsid w:val="001845EE"/>
    <w:rsid w:val="0018517B"/>
    <w:rsid w:val="0018746C"/>
    <w:rsid w:val="001921C4"/>
    <w:rsid w:val="00194309"/>
    <w:rsid w:val="00195966"/>
    <w:rsid w:val="00197C8D"/>
    <w:rsid w:val="001A42E9"/>
    <w:rsid w:val="001A4735"/>
    <w:rsid w:val="001C0BD5"/>
    <w:rsid w:val="001C3377"/>
    <w:rsid w:val="001C6FEA"/>
    <w:rsid w:val="001E0F36"/>
    <w:rsid w:val="001F26FF"/>
    <w:rsid w:val="0020502F"/>
    <w:rsid w:val="0020769D"/>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1B5D"/>
    <w:rsid w:val="002939BD"/>
    <w:rsid w:val="002972B5"/>
    <w:rsid w:val="00297CC5"/>
    <w:rsid w:val="002A2F67"/>
    <w:rsid w:val="002A5687"/>
    <w:rsid w:val="002C0532"/>
    <w:rsid w:val="002D706F"/>
    <w:rsid w:val="002D70B0"/>
    <w:rsid w:val="002E5132"/>
    <w:rsid w:val="002E74FA"/>
    <w:rsid w:val="002F4B72"/>
    <w:rsid w:val="003022BD"/>
    <w:rsid w:val="003046BA"/>
    <w:rsid w:val="00304BE9"/>
    <w:rsid w:val="0031505C"/>
    <w:rsid w:val="00317C21"/>
    <w:rsid w:val="00317D20"/>
    <w:rsid w:val="003330C4"/>
    <w:rsid w:val="0033478A"/>
    <w:rsid w:val="003444A2"/>
    <w:rsid w:val="00345E94"/>
    <w:rsid w:val="00360FB1"/>
    <w:rsid w:val="00365FF6"/>
    <w:rsid w:val="00366385"/>
    <w:rsid w:val="00367E07"/>
    <w:rsid w:val="003735F5"/>
    <w:rsid w:val="00382777"/>
    <w:rsid w:val="0038583B"/>
    <w:rsid w:val="00385E4B"/>
    <w:rsid w:val="00386500"/>
    <w:rsid w:val="00394C80"/>
    <w:rsid w:val="00397F45"/>
    <w:rsid w:val="003A70B2"/>
    <w:rsid w:val="003B0E82"/>
    <w:rsid w:val="003B5648"/>
    <w:rsid w:val="003B6C91"/>
    <w:rsid w:val="003C05C0"/>
    <w:rsid w:val="003C09A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50616"/>
    <w:rsid w:val="004523B3"/>
    <w:rsid w:val="00453984"/>
    <w:rsid w:val="00454887"/>
    <w:rsid w:val="004601B1"/>
    <w:rsid w:val="00460B55"/>
    <w:rsid w:val="00462A83"/>
    <w:rsid w:val="00463D03"/>
    <w:rsid w:val="00464116"/>
    <w:rsid w:val="00465B31"/>
    <w:rsid w:val="00474F80"/>
    <w:rsid w:val="00475396"/>
    <w:rsid w:val="00477F85"/>
    <w:rsid w:val="004864EC"/>
    <w:rsid w:val="0048752E"/>
    <w:rsid w:val="004A3113"/>
    <w:rsid w:val="004B0AA8"/>
    <w:rsid w:val="004B1515"/>
    <w:rsid w:val="004B78AC"/>
    <w:rsid w:val="004C01F6"/>
    <w:rsid w:val="004C1FE5"/>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17BFF"/>
    <w:rsid w:val="00526BD6"/>
    <w:rsid w:val="0053631A"/>
    <w:rsid w:val="00543487"/>
    <w:rsid w:val="00554A3A"/>
    <w:rsid w:val="00555D93"/>
    <w:rsid w:val="005619C3"/>
    <w:rsid w:val="00565BEA"/>
    <w:rsid w:val="005712BD"/>
    <w:rsid w:val="00571618"/>
    <w:rsid w:val="005717B9"/>
    <w:rsid w:val="005717E3"/>
    <w:rsid w:val="00571F6A"/>
    <w:rsid w:val="005748A0"/>
    <w:rsid w:val="00582CEE"/>
    <w:rsid w:val="00583C9B"/>
    <w:rsid w:val="00584CD2"/>
    <w:rsid w:val="00586124"/>
    <w:rsid w:val="00594263"/>
    <w:rsid w:val="00595F38"/>
    <w:rsid w:val="005A00D6"/>
    <w:rsid w:val="005A0C08"/>
    <w:rsid w:val="005A5D1E"/>
    <w:rsid w:val="005B0234"/>
    <w:rsid w:val="005B0CC7"/>
    <w:rsid w:val="005B109F"/>
    <w:rsid w:val="005B3A07"/>
    <w:rsid w:val="005C28F4"/>
    <w:rsid w:val="005C5B3D"/>
    <w:rsid w:val="005D3961"/>
    <w:rsid w:val="005D42EE"/>
    <w:rsid w:val="005D4E27"/>
    <w:rsid w:val="005E4E34"/>
    <w:rsid w:val="005E79B6"/>
    <w:rsid w:val="005F1155"/>
    <w:rsid w:val="005F46DE"/>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0FC5"/>
    <w:rsid w:val="00653EAA"/>
    <w:rsid w:val="00660BF5"/>
    <w:rsid w:val="006614D2"/>
    <w:rsid w:val="00676FEF"/>
    <w:rsid w:val="006778F5"/>
    <w:rsid w:val="0068068B"/>
    <w:rsid w:val="00682B35"/>
    <w:rsid w:val="00683E3B"/>
    <w:rsid w:val="00691870"/>
    <w:rsid w:val="00691E0A"/>
    <w:rsid w:val="0069494E"/>
    <w:rsid w:val="006A40B1"/>
    <w:rsid w:val="006A44DF"/>
    <w:rsid w:val="006A593A"/>
    <w:rsid w:val="006A6B8F"/>
    <w:rsid w:val="006B016C"/>
    <w:rsid w:val="006B3F3A"/>
    <w:rsid w:val="006C0F17"/>
    <w:rsid w:val="006C156E"/>
    <w:rsid w:val="006C4A3A"/>
    <w:rsid w:val="006C5B0E"/>
    <w:rsid w:val="006D372D"/>
    <w:rsid w:val="006E41BE"/>
    <w:rsid w:val="006F054E"/>
    <w:rsid w:val="00700B0E"/>
    <w:rsid w:val="007032AD"/>
    <w:rsid w:val="00703F32"/>
    <w:rsid w:val="00710CF2"/>
    <w:rsid w:val="00712208"/>
    <w:rsid w:val="00715556"/>
    <w:rsid w:val="007210B2"/>
    <w:rsid w:val="00721F19"/>
    <w:rsid w:val="0072339D"/>
    <w:rsid w:val="00727FDB"/>
    <w:rsid w:val="00734F7B"/>
    <w:rsid w:val="00735490"/>
    <w:rsid w:val="007378F5"/>
    <w:rsid w:val="00741223"/>
    <w:rsid w:val="00743ECB"/>
    <w:rsid w:val="007449CF"/>
    <w:rsid w:val="00747485"/>
    <w:rsid w:val="00756C5F"/>
    <w:rsid w:val="00764F06"/>
    <w:rsid w:val="0076708C"/>
    <w:rsid w:val="00773597"/>
    <w:rsid w:val="007774AE"/>
    <w:rsid w:val="00777A3A"/>
    <w:rsid w:val="007804DF"/>
    <w:rsid w:val="0078078F"/>
    <w:rsid w:val="00783BD0"/>
    <w:rsid w:val="00786753"/>
    <w:rsid w:val="00793732"/>
    <w:rsid w:val="00795B36"/>
    <w:rsid w:val="00796BBB"/>
    <w:rsid w:val="00797AE9"/>
    <w:rsid w:val="007A1D9C"/>
    <w:rsid w:val="007A3662"/>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6CDF"/>
    <w:rsid w:val="0084077B"/>
    <w:rsid w:val="00840E90"/>
    <w:rsid w:val="008427C9"/>
    <w:rsid w:val="008438E9"/>
    <w:rsid w:val="00843E1D"/>
    <w:rsid w:val="00850897"/>
    <w:rsid w:val="00850F30"/>
    <w:rsid w:val="008523DD"/>
    <w:rsid w:val="00855105"/>
    <w:rsid w:val="008553F9"/>
    <w:rsid w:val="00856576"/>
    <w:rsid w:val="008575FA"/>
    <w:rsid w:val="0085783F"/>
    <w:rsid w:val="008578AC"/>
    <w:rsid w:val="00857930"/>
    <w:rsid w:val="008636F7"/>
    <w:rsid w:val="00866976"/>
    <w:rsid w:val="00877C00"/>
    <w:rsid w:val="00877FBA"/>
    <w:rsid w:val="0088086D"/>
    <w:rsid w:val="00882592"/>
    <w:rsid w:val="00882648"/>
    <w:rsid w:val="00883843"/>
    <w:rsid w:val="00884389"/>
    <w:rsid w:val="008861E2"/>
    <w:rsid w:val="00891546"/>
    <w:rsid w:val="00892F1C"/>
    <w:rsid w:val="008974A9"/>
    <w:rsid w:val="008A237F"/>
    <w:rsid w:val="008A310D"/>
    <w:rsid w:val="008A3D76"/>
    <w:rsid w:val="008A5D25"/>
    <w:rsid w:val="008B5B1C"/>
    <w:rsid w:val="008B6A08"/>
    <w:rsid w:val="008B6BAD"/>
    <w:rsid w:val="008D6F7E"/>
    <w:rsid w:val="008D7D24"/>
    <w:rsid w:val="008E0163"/>
    <w:rsid w:val="008E145D"/>
    <w:rsid w:val="008E4742"/>
    <w:rsid w:val="008E5134"/>
    <w:rsid w:val="008E6403"/>
    <w:rsid w:val="008F0CD4"/>
    <w:rsid w:val="008F48A2"/>
    <w:rsid w:val="00904AE6"/>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4791"/>
    <w:rsid w:val="009D76E1"/>
    <w:rsid w:val="009E265D"/>
    <w:rsid w:val="009E2785"/>
    <w:rsid w:val="009E37A5"/>
    <w:rsid w:val="009E3FE5"/>
    <w:rsid w:val="009F18CA"/>
    <w:rsid w:val="009F2060"/>
    <w:rsid w:val="009F2523"/>
    <w:rsid w:val="009F3814"/>
    <w:rsid w:val="009F7C54"/>
    <w:rsid w:val="00A00296"/>
    <w:rsid w:val="00A01560"/>
    <w:rsid w:val="00A13310"/>
    <w:rsid w:val="00A165CB"/>
    <w:rsid w:val="00A16ACE"/>
    <w:rsid w:val="00A21064"/>
    <w:rsid w:val="00A2249F"/>
    <w:rsid w:val="00A22A3F"/>
    <w:rsid w:val="00A31915"/>
    <w:rsid w:val="00A31F9D"/>
    <w:rsid w:val="00A33F5E"/>
    <w:rsid w:val="00A37B38"/>
    <w:rsid w:val="00A425C7"/>
    <w:rsid w:val="00A42853"/>
    <w:rsid w:val="00A43AB8"/>
    <w:rsid w:val="00A441A4"/>
    <w:rsid w:val="00A44BEC"/>
    <w:rsid w:val="00A4624F"/>
    <w:rsid w:val="00A477D8"/>
    <w:rsid w:val="00A539B5"/>
    <w:rsid w:val="00A53F60"/>
    <w:rsid w:val="00A56228"/>
    <w:rsid w:val="00A56A37"/>
    <w:rsid w:val="00A5795C"/>
    <w:rsid w:val="00A6200D"/>
    <w:rsid w:val="00A7714F"/>
    <w:rsid w:val="00A91E7C"/>
    <w:rsid w:val="00A93623"/>
    <w:rsid w:val="00A93C4D"/>
    <w:rsid w:val="00A9542A"/>
    <w:rsid w:val="00AA0A9B"/>
    <w:rsid w:val="00AA11A9"/>
    <w:rsid w:val="00AA4F46"/>
    <w:rsid w:val="00AA78F8"/>
    <w:rsid w:val="00AB555A"/>
    <w:rsid w:val="00AC0C65"/>
    <w:rsid w:val="00AD07D2"/>
    <w:rsid w:val="00AD0F24"/>
    <w:rsid w:val="00AD1B18"/>
    <w:rsid w:val="00AD4991"/>
    <w:rsid w:val="00AD5F74"/>
    <w:rsid w:val="00AD67E9"/>
    <w:rsid w:val="00AE0CD8"/>
    <w:rsid w:val="00AE1F0E"/>
    <w:rsid w:val="00AE24D3"/>
    <w:rsid w:val="00AE2F26"/>
    <w:rsid w:val="00AE4205"/>
    <w:rsid w:val="00AE696C"/>
    <w:rsid w:val="00B103A1"/>
    <w:rsid w:val="00B10545"/>
    <w:rsid w:val="00B11BFE"/>
    <w:rsid w:val="00B15B55"/>
    <w:rsid w:val="00B215D6"/>
    <w:rsid w:val="00B22669"/>
    <w:rsid w:val="00B27AC2"/>
    <w:rsid w:val="00B33B4F"/>
    <w:rsid w:val="00B34418"/>
    <w:rsid w:val="00B36B72"/>
    <w:rsid w:val="00B372B3"/>
    <w:rsid w:val="00B37735"/>
    <w:rsid w:val="00B43F65"/>
    <w:rsid w:val="00B46660"/>
    <w:rsid w:val="00B60DFB"/>
    <w:rsid w:val="00B61189"/>
    <w:rsid w:val="00B6355A"/>
    <w:rsid w:val="00B64E36"/>
    <w:rsid w:val="00B6558E"/>
    <w:rsid w:val="00B67D88"/>
    <w:rsid w:val="00B71636"/>
    <w:rsid w:val="00B8162A"/>
    <w:rsid w:val="00B81A1C"/>
    <w:rsid w:val="00B84F73"/>
    <w:rsid w:val="00B870C9"/>
    <w:rsid w:val="00B87198"/>
    <w:rsid w:val="00B873C2"/>
    <w:rsid w:val="00B92262"/>
    <w:rsid w:val="00B9361F"/>
    <w:rsid w:val="00B93709"/>
    <w:rsid w:val="00B93D19"/>
    <w:rsid w:val="00B94691"/>
    <w:rsid w:val="00B94ECF"/>
    <w:rsid w:val="00B96FBE"/>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24DB9"/>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D007D9"/>
    <w:rsid w:val="00D00823"/>
    <w:rsid w:val="00D0569D"/>
    <w:rsid w:val="00D07CC3"/>
    <w:rsid w:val="00D17D95"/>
    <w:rsid w:val="00D22569"/>
    <w:rsid w:val="00D271A7"/>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90B55"/>
    <w:rsid w:val="00D91FFA"/>
    <w:rsid w:val="00D9744D"/>
    <w:rsid w:val="00D97DCB"/>
    <w:rsid w:val="00DA13C5"/>
    <w:rsid w:val="00DB711D"/>
    <w:rsid w:val="00DB7C77"/>
    <w:rsid w:val="00DC3E97"/>
    <w:rsid w:val="00DC5273"/>
    <w:rsid w:val="00DC54BA"/>
    <w:rsid w:val="00DC7EC9"/>
    <w:rsid w:val="00DD2C05"/>
    <w:rsid w:val="00DD7965"/>
    <w:rsid w:val="00DE0C5C"/>
    <w:rsid w:val="00DE2D0F"/>
    <w:rsid w:val="00DE384C"/>
    <w:rsid w:val="00DE3A41"/>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24D9"/>
    <w:rsid w:val="00E22DC8"/>
    <w:rsid w:val="00E2391F"/>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4F0F"/>
    <w:rsid w:val="00E8649F"/>
    <w:rsid w:val="00E905E6"/>
    <w:rsid w:val="00E90D2D"/>
    <w:rsid w:val="00E913F6"/>
    <w:rsid w:val="00E92850"/>
    <w:rsid w:val="00EB6F79"/>
    <w:rsid w:val="00EC18AA"/>
    <w:rsid w:val="00EC4B52"/>
    <w:rsid w:val="00EC583D"/>
    <w:rsid w:val="00EC787D"/>
    <w:rsid w:val="00ED11EF"/>
    <w:rsid w:val="00ED15E6"/>
    <w:rsid w:val="00ED2D77"/>
    <w:rsid w:val="00EE0C51"/>
    <w:rsid w:val="00EE794D"/>
    <w:rsid w:val="00F0217A"/>
    <w:rsid w:val="00F022C6"/>
    <w:rsid w:val="00F11FBA"/>
    <w:rsid w:val="00F15D78"/>
    <w:rsid w:val="00F20434"/>
    <w:rsid w:val="00F21BD4"/>
    <w:rsid w:val="00F22E1D"/>
    <w:rsid w:val="00F23F30"/>
    <w:rsid w:val="00F253E2"/>
    <w:rsid w:val="00F411E6"/>
    <w:rsid w:val="00F44CFC"/>
    <w:rsid w:val="00F45D93"/>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4714"/>
    <w:rsid w:val="00FA0F4A"/>
    <w:rsid w:val="00FA626D"/>
    <w:rsid w:val="00FA6961"/>
    <w:rsid w:val="00FB2AB0"/>
    <w:rsid w:val="00FB46C8"/>
    <w:rsid w:val="00FB4877"/>
    <w:rsid w:val="00FB50FA"/>
    <w:rsid w:val="00FC31F6"/>
    <w:rsid w:val="00FD1F89"/>
    <w:rsid w:val="00FD384C"/>
    <w:rsid w:val="00FD7FB7"/>
    <w:rsid w:val="00FE025A"/>
    <w:rsid w:val="00FE2A3D"/>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5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customStyle="1" w:styleId="HeaderChar">
    <w:name w:val="Header Char"/>
    <w:basedOn w:val="DefaultParagraphFont"/>
    <w:link w:val="Header"/>
    <w:rsid w:val="00FE2A3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sites/default/files/adc/public-record/ex0077_-_005_-_notice_adn_-_adn_2019-153_findings_in_relation_to_an_exemption_inquiry.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2" ma:contentTypeDescription="Create a new document." ma:contentTypeScope="" ma:versionID="27ff59c4cb9d75a4966f06f871b603ed">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df5d69696963b0514d4a001888f5ac16"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1279</Value>
      <Value>1276</Value>
      <Value>30</Value>
      <Value>1378</Value>
      <Value>42</Value>
      <Value>76</Value>
      <Value>1006</Value>
      <Value>2</Value>
      <Value>1327</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AUSTRALIA</TermName>
          <TermId xmlns="http://schemas.microsoft.com/office/infopath/2007/PartnerControls">75828f2d-1287-4596-bd1c-ffba807262d6</TermId>
        </TermInfo>
      </Terms>
    </of9f5489d8524f60b5f135358bcc24e7>
    <ADCDochubSourceSiteURL xmlns="b48e3ffd-eb19-4da6-9c3a-2fe013753af6" xsi:nil="true"/>
    <hcbec39975394884bc044fe01b449dad xmlns="b48e3ffd-eb19-4da6-9c3a-2fe013753af6">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19b7fe26-4737-4149-81c7-bc42e1b56551</TermId>
        </TermInfo>
      </Term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TermInfo xmlns="http://schemas.microsoft.com/office/infopath/2007/PartnerControls">
          <TermName xmlns="http://schemas.microsoft.com/office/infopath/2007/PartnerControls">Verification</TermName>
          <TermId xmlns="http://schemas.microsoft.com/office/infopath/2007/PartnerControls">07cfb828-1059-4072-b29e-c42152261448</TermId>
        </TermInfo>
      </Terms>
    </m8420f65473d45b2b1f82b85c0bcea80>
    <ADCRootFolder xmlns="b48e3ffd-eb19-4da6-9c3a-2fe013753af6">Hot rolled structural section steel - Continuation - OneSteel Manufacturing Pty Limited - Multiple_BCDAD0E6650949EE807581111815703C</ADCRootFolder>
    <c46651cd2c49492aa9078635984fc72b xmlns="b48e3ffd-eb19-4da6-9c3a-2fe013753af6">
      <Terms xmlns="http://schemas.microsoft.com/office/infopath/2007/PartnerControls">
        <TermInfo xmlns="http://schemas.microsoft.com/office/infopath/2007/PartnerControls">
          <TermName xmlns="http://schemas.microsoft.com/office/infopath/2007/PartnerControls">Liberty Steel</TermName>
          <TermId xmlns="http://schemas.microsoft.com/office/infopath/2007/PartnerControls">91a021eb-1484-462c-9308-380d70cc854e</TermId>
        </TermInfo>
      </Term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637</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Hot Rolled Structural Steel</TermName>
          <TermId xmlns="http://schemas.microsoft.com/office/infopath/2007/PartnerControls">af22caf1-a9b1-4834-a10c-d03743561da3</TermId>
        </TermInfo>
      </Terms>
    </f06bc08df4f7480fae31bfc0219a480b>
    <ADCCRMCaseId xmlns="b48e3ffd-eb19-4da6-9c3a-2fe013753af6">BCDAD0E6-6509-49EE-8075-81111815703C</ADCCRMCaseId>
  </documentManagement>
</p:properties>
</file>

<file path=customXml/itemProps1.xml><?xml version="1.0" encoding="utf-8"?>
<ds:datastoreItem xmlns:ds="http://schemas.openxmlformats.org/officeDocument/2006/customXml" ds:itemID="{AD27D989-19B8-4B1E-BA18-8FD573ABB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customXml/itemProps4.xml><?xml version="1.0" encoding="utf-8"?>
<ds:datastoreItem xmlns:ds="http://schemas.openxmlformats.org/officeDocument/2006/customXml" ds:itemID="{DC4F02A7-442A-49F9-A09B-634654412D78}">
  <ds:schemaRefs>
    <ds:schemaRef ds:uri="http://purl.org/dc/terms/"/>
    <ds:schemaRef ds:uri="http://schemas.microsoft.com/office/2006/documentManagement/types"/>
    <ds:schemaRef ds:uri="http://schemas.microsoft.com/office/2006/metadata/properties"/>
    <ds:schemaRef ds:uri="http://www.w3.org/XML/1998/namespace"/>
    <ds:schemaRef ds:uri="9415f538-06e4-4333-8d32-bf09d7b0fc67"/>
    <ds:schemaRef ds:uri="http://purl.org/dc/dcmitype/"/>
    <ds:schemaRef ds:uri="http://purl.org/dc/elements/1.1/"/>
    <ds:schemaRef ds:uri="http://schemas.microsoft.com/office/infopath/2007/PartnerControls"/>
    <ds:schemaRef ds:uri="http://schemas.openxmlformats.org/package/2006/metadata/core-properties"/>
    <ds:schemaRef ds:uri="b48e3ffd-eb19-4da6-9c3a-2fe013753a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3932</Words>
  <Characters>20804</Characters>
  <Application>Microsoft Office Word</Application>
  <DocSecurity>0</DocSecurity>
  <Lines>520</Lines>
  <Paragraphs>294</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24442</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Soumbassis, Con</cp:lastModifiedBy>
  <cp:revision>2</cp:revision>
  <cp:lastPrinted>2013-05-16T23:12:00Z</cp:lastPrinted>
  <dcterms:created xsi:type="dcterms:W3CDTF">2023-11-21T05:06:00Z</dcterms:created>
  <dcterms:modified xsi:type="dcterms:W3CDTF">2023-11-21T05:06:00Z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ADCGoods">
    <vt:lpwstr>1378;#Hot Rolled Structural Steel|af22caf1-a9b1-4834-a10c-d03743561da3</vt:lpwstr>
  </property>
  <property fmtid="{D5CDD505-2E9C-101B-9397-08002B2CF9AE}" pid="35" name="ADCSub-documentType">
    <vt:lpwstr/>
  </property>
  <property fmtid="{D5CDD505-2E9C-101B-9397-08002B2CF9AE}" pid="36" name="ADCDivisionKeywords">
    <vt:lpwstr/>
  </property>
  <property fmtid="{D5CDD505-2E9C-101B-9397-08002B2CF9AE}" pid="37" name="MediaServiceImageTags">
    <vt:lpwstr/>
  </property>
  <property fmtid="{D5CDD505-2E9C-101B-9397-08002B2CF9AE}" pid="38" name="ADCDocumentType">
    <vt:lpwstr>42;#Questionnaire|77396392-a370-441c-ad68-0ba6068a2990</vt:lpwstr>
  </property>
  <property fmtid="{D5CDD505-2E9C-101B-9397-08002B2CF9AE}" pid="39" name="ADCEntityType">
    <vt:lpwstr/>
  </property>
  <property fmtid="{D5CDD505-2E9C-101B-9397-08002B2CF9AE}" pid="40" name="ADCFileType">
    <vt:lpwstr>1279;#docx|7235e733-68fd-45f7-bd8f-236be668aa4c</vt:lpwstr>
  </property>
  <property fmtid="{D5CDD505-2E9C-101B-9397-08002B2CF9AE}" pid="41" name="ADCCaseType">
    <vt:lpwstr>1276;#Continuation Inquiry|74cbcd40-ded6-46ab-8f0b-4816580d8e38</vt:lpwstr>
  </property>
  <property fmtid="{D5CDD505-2E9C-101B-9397-08002B2CF9AE}" pid="42" name="ADCCountries">
    <vt:lpwstr>2;#AUSTRALIA|75828f2d-1287-4596-bd1c-ffba807262d6</vt:lpwstr>
  </property>
  <property fmtid="{D5CDD505-2E9C-101B-9397-08002B2CF9AE}" pid="43" name="ADCEntity">
    <vt:lpwstr>1006;#Liberty Steel|91a021eb-1484-462c-9308-380d70cc854e</vt:lpwstr>
  </property>
  <property fmtid="{D5CDD505-2E9C-101B-9397-08002B2CF9AE}" pid="44" name="ADCSecurityClassification">
    <vt:lpwstr>30;#OFFICIAL:Sensitive|028d2a82-9ad8-4680-8be0-bc23c353d676</vt:lpwstr>
  </property>
  <property fmtid="{D5CDD505-2E9C-101B-9397-08002B2CF9AE}" pid="45" name="ADCReportType">
    <vt:lpwstr/>
  </property>
  <property fmtid="{D5CDD505-2E9C-101B-9397-08002B2CF9AE}" pid="46" name="ADCAttachment/Appendix">
    <vt:lpwstr/>
  </property>
  <property fmtid="{D5CDD505-2E9C-101B-9397-08002B2CF9AE}" pid="47" name="ADCWorkActivity">
    <vt:lpwstr>76;#Verification|07cfb828-1059-4072-b29e-c42152261448</vt:lpwstr>
  </property>
  <property fmtid="{D5CDD505-2E9C-101B-9397-08002B2CF9AE}" pid="48" name="ADCYear">
    <vt:lpwstr>1327;#2023|19b7fe26-4737-4149-81c7-bc42e1b56551</vt:lpwstr>
  </property>
</Properties>
</file>