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5E539B09" w14:textId="6603A5B1" w:rsidR="00FE2A3D" w:rsidRPr="008D4524" w:rsidRDefault="00FE2A3D" w:rsidP="00FE2A3D">
      <w:pPr>
        <w:widowControl w:val="0"/>
        <w:rPr>
          <w:snapToGrid w:val="0"/>
          <w:sz w:val="28"/>
        </w:rPr>
      </w:pPr>
      <w:r w:rsidRPr="008D4524">
        <w:rPr>
          <w:b/>
          <w:snapToGrid w:val="0"/>
          <w:sz w:val="28"/>
        </w:rPr>
        <w:t xml:space="preserve">Case number: </w:t>
      </w:r>
      <w:r w:rsidR="00F06E72">
        <w:rPr>
          <w:snapToGrid w:val="0"/>
          <w:sz w:val="28"/>
        </w:rPr>
        <w:t>642</w:t>
      </w:r>
    </w:p>
    <w:p w14:paraId="486F9178" w14:textId="77777777" w:rsidR="00FE2A3D" w:rsidRPr="008D4524" w:rsidRDefault="00FE2A3D" w:rsidP="00FE2A3D">
      <w:pPr>
        <w:widowControl w:val="0"/>
      </w:pPr>
    </w:p>
    <w:p w14:paraId="7B2C8354" w14:textId="77777777" w:rsidR="00FE2A3D" w:rsidRPr="008D4524" w:rsidRDefault="00FE2A3D" w:rsidP="00FE2A3D">
      <w:pPr>
        <w:widowControl w:val="0"/>
      </w:pPr>
    </w:p>
    <w:p w14:paraId="75B72C71" w14:textId="77777777" w:rsidR="00FE2A3D" w:rsidRPr="008D4524" w:rsidRDefault="00FE2A3D" w:rsidP="00FE2A3D">
      <w:pPr>
        <w:widowControl w:val="0"/>
        <w:rPr>
          <w:snapToGrid w:val="0"/>
          <w:sz w:val="28"/>
        </w:rPr>
      </w:pPr>
      <w:r w:rsidRPr="008D4524">
        <w:rPr>
          <w:b/>
          <w:snapToGrid w:val="0"/>
          <w:sz w:val="28"/>
        </w:rPr>
        <w:t xml:space="preserve">Product: </w:t>
      </w:r>
      <w:r w:rsidRPr="008D4524">
        <w:rPr>
          <w:snapToGrid w:val="0"/>
          <w:sz w:val="28"/>
        </w:rPr>
        <w:t>Hot rolled structural steel sections</w:t>
      </w:r>
    </w:p>
    <w:p w14:paraId="0F30DFDE" w14:textId="77777777" w:rsidR="00FE2A3D" w:rsidRPr="008D4524" w:rsidRDefault="00FE2A3D" w:rsidP="00FE2A3D">
      <w:pPr>
        <w:widowControl w:val="0"/>
        <w:rPr>
          <w:snapToGrid w:val="0"/>
        </w:rPr>
      </w:pPr>
    </w:p>
    <w:p w14:paraId="61090204" w14:textId="77777777" w:rsidR="00FE2A3D" w:rsidRPr="008D4524" w:rsidRDefault="00FE2A3D" w:rsidP="00FE2A3D">
      <w:pPr>
        <w:widowControl w:val="0"/>
        <w:rPr>
          <w:snapToGrid w:val="0"/>
        </w:rPr>
      </w:pPr>
    </w:p>
    <w:p w14:paraId="319F4066" w14:textId="77777777" w:rsidR="00FE2A3D" w:rsidRPr="008D4524" w:rsidRDefault="00FE2A3D" w:rsidP="00FE2A3D">
      <w:pPr>
        <w:widowControl w:val="0"/>
        <w:rPr>
          <w:bCs/>
          <w:snapToGrid w:val="0"/>
        </w:rPr>
      </w:pPr>
      <w:r w:rsidRPr="008D4524">
        <w:rPr>
          <w:b/>
          <w:snapToGrid w:val="0"/>
          <w:sz w:val="28"/>
        </w:rPr>
        <w:t>From:</w:t>
      </w:r>
      <w:r w:rsidRPr="008D4524">
        <w:rPr>
          <w:snapToGrid w:val="0"/>
          <w:sz w:val="28"/>
        </w:rPr>
        <w:t xml:space="preserve"> </w:t>
      </w:r>
      <w:r w:rsidRPr="008D4524">
        <w:rPr>
          <w:bCs/>
          <w:snapToGrid w:val="0"/>
          <w:sz w:val="28"/>
          <w:lang w:val="en-US"/>
        </w:rPr>
        <w:t xml:space="preserve">Japan, the Republic of Korea, Taiwan (except by Feng </w:t>
      </w:r>
      <w:proofErr w:type="spellStart"/>
      <w:r w:rsidRPr="008D4524">
        <w:rPr>
          <w:bCs/>
          <w:snapToGrid w:val="0"/>
          <w:sz w:val="28"/>
          <w:lang w:val="en-US"/>
        </w:rPr>
        <w:t>Hsin</w:t>
      </w:r>
      <w:proofErr w:type="spellEnd"/>
      <w:r w:rsidRPr="008D4524">
        <w:rPr>
          <w:bCs/>
          <w:snapToGrid w:val="0"/>
          <w:sz w:val="28"/>
          <w:lang w:val="en-US"/>
        </w:rPr>
        <w:t xml:space="preserve"> Steel Co Ltd, T S Steel Co., Ltd and Tung Ho Steel Enterprise Corporation) and the Kingdom of Thailand</w:t>
      </w:r>
    </w:p>
    <w:p w14:paraId="457666F1" w14:textId="77777777" w:rsidR="00FE2A3D" w:rsidRPr="008D4524" w:rsidRDefault="00FE2A3D" w:rsidP="00FE2A3D">
      <w:pPr>
        <w:widowControl w:val="0"/>
        <w:rPr>
          <w:snapToGrid w:val="0"/>
        </w:rPr>
      </w:pPr>
    </w:p>
    <w:p w14:paraId="6A57F5E1" w14:textId="77777777" w:rsidR="00FE2A3D" w:rsidRPr="008D4524" w:rsidRDefault="00FE2A3D" w:rsidP="00FE2A3D">
      <w:pPr>
        <w:widowControl w:val="0"/>
        <w:rPr>
          <w:snapToGrid w:val="0"/>
        </w:rPr>
      </w:pPr>
    </w:p>
    <w:p w14:paraId="4B8099C5" w14:textId="0BF41ABB" w:rsidR="00FE2A3D" w:rsidRPr="008D4524" w:rsidRDefault="00963131" w:rsidP="00FE2A3D">
      <w:pPr>
        <w:widowControl w:val="0"/>
        <w:rPr>
          <w:snapToGrid w:val="0"/>
          <w:sz w:val="28"/>
        </w:rPr>
      </w:pPr>
      <w:r>
        <w:rPr>
          <w:b/>
          <w:snapToGrid w:val="0"/>
          <w:sz w:val="28"/>
        </w:rPr>
        <w:t>Review</w:t>
      </w:r>
      <w:r w:rsidR="00FE2A3D" w:rsidRPr="008D4524">
        <w:rPr>
          <w:b/>
          <w:snapToGrid w:val="0"/>
          <w:sz w:val="28"/>
        </w:rPr>
        <w:t xml:space="preserve"> period: </w:t>
      </w:r>
      <w:r w:rsidR="00F06E72">
        <w:rPr>
          <w:snapToGrid w:val="0"/>
          <w:sz w:val="28"/>
        </w:rPr>
        <w:t>1 April 2023 to 31 March 2024</w:t>
      </w:r>
      <w:r w:rsidR="00962D3F">
        <w:rPr>
          <w:snapToGrid w:val="0"/>
          <w:sz w:val="28"/>
        </w:rPr>
        <w:t xml:space="preserve"> (the review period)</w:t>
      </w:r>
    </w:p>
    <w:p w14:paraId="1A0681B5" w14:textId="4530EB1E" w:rsidR="00515B70" w:rsidRDefault="00515B70">
      <w:pPr>
        <w:widowControl w:val="0"/>
        <w:rPr>
          <w:snapToGrid w:val="0"/>
        </w:rPr>
      </w:pPr>
    </w:p>
    <w:p w14:paraId="1A0681B6" w14:textId="6C8A98E0"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7075B4FD" w:rsidR="00884389" w:rsidRPr="0083143A" w:rsidRDefault="00126358" w:rsidP="00884389">
            <w:pPr>
              <w:widowControl w:val="0"/>
              <w:rPr>
                <w:snapToGrid w:val="0"/>
                <w:sz w:val="28"/>
              </w:rPr>
            </w:pPr>
            <w:r w:rsidRPr="0083143A">
              <w:rPr>
                <w:snapToGrid w:val="0"/>
                <w:sz w:val="28"/>
              </w:rPr>
              <w:t>10</w:t>
            </w:r>
            <w:r w:rsidR="00ED1765" w:rsidRPr="0083143A">
              <w:rPr>
                <w:snapToGrid w:val="0"/>
                <w:sz w:val="28"/>
              </w:rPr>
              <w:t xml:space="preserve"> April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079DB740" w:rsidR="00884389" w:rsidRPr="0083143A" w:rsidRDefault="003A4C88" w:rsidP="00884389">
            <w:pPr>
              <w:widowControl w:val="0"/>
              <w:rPr>
                <w:snapToGrid w:val="0"/>
                <w:sz w:val="28"/>
              </w:rPr>
            </w:pPr>
            <w:r w:rsidRPr="0083143A">
              <w:rPr>
                <w:snapToGrid w:val="0"/>
                <w:sz w:val="28"/>
              </w:rPr>
              <w:t>2</w:t>
            </w:r>
            <w:r w:rsidR="00126358" w:rsidRPr="0083143A">
              <w:rPr>
                <w:snapToGrid w:val="0"/>
                <w:sz w:val="28"/>
              </w:rPr>
              <w:t>4</w:t>
            </w:r>
            <w:r w:rsidRPr="0083143A">
              <w:rPr>
                <w:snapToGrid w:val="0"/>
                <w:sz w:val="28"/>
              </w:rPr>
              <w:t xml:space="preserve"> April 2024</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0958AF6E" w:rsidR="00884389" w:rsidRPr="0083143A" w:rsidRDefault="0083143A" w:rsidP="00884389">
            <w:pPr>
              <w:widowControl w:val="0"/>
              <w:rPr>
                <w:snapToGrid w:val="0"/>
                <w:sz w:val="28"/>
              </w:rPr>
            </w:pPr>
            <w:r w:rsidRPr="0083143A">
              <w:rPr>
                <w:snapToGrid w:val="0"/>
                <w:sz w:val="28"/>
              </w:rPr>
              <w:t>1 May</w:t>
            </w:r>
            <w:r w:rsidR="0084679C" w:rsidRPr="0083143A">
              <w:rPr>
                <w:snapToGrid w:val="0"/>
                <w:sz w:val="28"/>
              </w:rPr>
              <w:t xml:space="preserve">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3D94837" w14:textId="6B6825B8" w:rsidR="00FE2A3D" w:rsidRPr="008D4524" w:rsidRDefault="00FE2A3D" w:rsidP="00FE2A3D">
      <w:pPr>
        <w:widowControl w:val="0"/>
        <w:rPr>
          <w:snapToGrid w:val="0"/>
          <w:sz w:val="28"/>
        </w:rPr>
      </w:pPr>
      <w:bookmarkStart w:id="0" w:name="_Toc506971814"/>
      <w:bookmarkStart w:id="1" w:name="_Toc508203806"/>
      <w:bookmarkStart w:id="2" w:name="_Toc508290340"/>
      <w:bookmarkStart w:id="3" w:name="_Toc515637624"/>
      <w:bookmarkStart w:id="4" w:name="_Toc104457340"/>
      <w:r w:rsidRPr="008D4524">
        <w:rPr>
          <w:b/>
          <w:snapToGrid w:val="0"/>
          <w:sz w:val="28"/>
        </w:rPr>
        <w:t>Email enquiries to:</w:t>
      </w:r>
      <w:r w:rsidRPr="008D4524">
        <w:rPr>
          <w:snapToGrid w:val="0"/>
          <w:sz w:val="28"/>
        </w:rPr>
        <w:t xml:space="preserve"> </w:t>
      </w:r>
      <w:hyperlink r:id="rId11" w:history="1">
        <w:r w:rsidR="00F06E72" w:rsidRPr="00BC025F">
          <w:rPr>
            <w:rStyle w:val="Hyperlink"/>
            <w:snapToGrid w:val="0"/>
            <w:sz w:val="28"/>
          </w:rPr>
          <w:t>investigations2@adcommission.gov.au</w:t>
        </w:r>
      </w:hyperlink>
      <w:r w:rsidRPr="008D4524">
        <w:rPr>
          <w:snapToGrid w:val="0"/>
          <w:sz w:val="28"/>
        </w:rPr>
        <w:t xml:space="preserve"> </w:t>
      </w:r>
    </w:p>
    <w:p w14:paraId="11B41749" w14:textId="77777777" w:rsidR="00FE2A3D" w:rsidRPr="008D4524" w:rsidRDefault="00FE2A3D" w:rsidP="00FE2A3D">
      <w:pPr>
        <w:widowControl w:val="0"/>
      </w:pPr>
    </w:p>
    <w:p w14:paraId="44EE12ED" w14:textId="77777777" w:rsidR="00FE2A3D" w:rsidRPr="008D4524" w:rsidRDefault="00FE2A3D" w:rsidP="00FE2A3D">
      <w:pPr>
        <w:widowControl w:val="0"/>
      </w:pPr>
    </w:p>
    <w:p w14:paraId="7C58EBE8" w14:textId="77777777" w:rsidR="00FE2A3D" w:rsidRPr="008D4524" w:rsidRDefault="00FE2A3D" w:rsidP="00FE2A3D">
      <w:pPr>
        <w:widowControl w:val="0"/>
        <w:rPr>
          <w:snapToGrid w:val="0"/>
          <w:sz w:val="28"/>
        </w:rPr>
      </w:pPr>
      <w:r w:rsidRPr="008D4524">
        <w:rPr>
          <w:b/>
          <w:snapToGrid w:val="0"/>
          <w:sz w:val="28"/>
        </w:rPr>
        <w:t>Anti-Dumping Commission website:</w:t>
      </w:r>
      <w:r w:rsidRPr="008D4524">
        <w:rPr>
          <w:snapToGrid w:val="0"/>
          <w:sz w:val="28"/>
        </w:rPr>
        <w:t xml:space="preserve"> </w:t>
      </w:r>
      <w:hyperlink r:id="rId12" w:history="1">
        <w:r w:rsidRPr="008D4524">
          <w:rPr>
            <w:rStyle w:val="Hyperlink"/>
            <w:color w:val="auto"/>
            <w:sz w:val="28"/>
          </w:rPr>
          <w:t>www.adcommission.gov.au</w:t>
        </w:r>
      </w:hyperlink>
      <w:r w:rsidRPr="008D4524">
        <w:rPr>
          <w:snapToGrid w:val="0"/>
          <w:sz w:val="28"/>
        </w:rPr>
        <w:t xml:space="preserve"> </w:t>
      </w:r>
    </w:p>
    <w:p w14:paraId="7A5F0D00" w14:textId="77777777" w:rsidR="00FE2A3D" w:rsidRPr="008D4524" w:rsidRDefault="00FE2A3D" w:rsidP="00FE2A3D">
      <w:pPr>
        <w:widowControl w:val="0"/>
        <w:rPr>
          <w:snapToGrid w:val="0"/>
        </w:rPr>
      </w:pPr>
    </w:p>
    <w:p w14:paraId="2B82C498" w14:textId="77777777" w:rsidR="00FE2A3D" w:rsidRPr="008D4524" w:rsidRDefault="00FE2A3D" w:rsidP="00FE2A3D">
      <w:pPr>
        <w:widowControl w:val="0"/>
        <w:rPr>
          <w:snapToGrid w:val="0"/>
        </w:rPr>
      </w:pPr>
    </w:p>
    <w:p w14:paraId="52BCBDFB" w14:textId="77777777" w:rsidR="00FE2A3D" w:rsidRPr="008D4524" w:rsidRDefault="00FE2A3D" w:rsidP="00FE2A3D">
      <w:pPr>
        <w:widowControl w:val="0"/>
        <w:rPr>
          <w:snapToGrid w:val="0"/>
        </w:rPr>
      </w:pPr>
    </w:p>
    <w:p w14:paraId="2DD119F4" w14:textId="77777777" w:rsidR="00FE2A3D" w:rsidRPr="008D4524" w:rsidRDefault="00FE2A3D" w:rsidP="00FE2A3D">
      <w:pPr>
        <w:widowControl w:val="0"/>
        <w:rPr>
          <w:snapToGrid w:val="0"/>
        </w:rPr>
      </w:pPr>
    </w:p>
    <w:p w14:paraId="49DD8254" w14:textId="77777777" w:rsidR="00FE2A3D" w:rsidRPr="008D4524" w:rsidRDefault="00FE2A3D" w:rsidP="00FE2A3D">
      <w:pPr>
        <w:widowControl w:val="0"/>
        <w:rPr>
          <w:snapToGrid w:val="0"/>
        </w:rPr>
      </w:pPr>
    </w:p>
    <w:p w14:paraId="51DD9E71" w14:textId="77777777" w:rsidR="00FE2A3D" w:rsidRPr="008D4524" w:rsidRDefault="00FE2A3D" w:rsidP="00FE2A3D">
      <w:pPr>
        <w:widowControl w:val="0"/>
        <w:rPr>
          <w:snapToGrid w:val="0"/>
        </w:rPr>
      </w:pPr>
    </w:p>
    <w:p w14:paraId="3E142B4B" w14:textId="77777777" w:rsidR="00FE2A3D" w:rsidRPr="008D4524" w:rsidRDefault="00FE2A3D" w:rsidP="00FE2A3D">
      <w:pPr>
        <w:widowControl w:val="0"/>
        <w:rPr>
          <w:snapToGrid w:val="0"/>
        </w:rPr>
      </w:pPr>
    </w:p>
    <w:p w14:paraId="26CDB8B6" w14:textId="77777777" w:rsidR="00FE2A3D" w:rsidRPr="008D4524" w:rsidRDefault="00FE2A3D" w:rsidP="00FE2A3D">
      <w:pPr>
        <w:widowControl w:val="0"/>
        <w:rPr>
          <w:snapToGrid w:val="0"/>
        </w:rPr>
      </w:pPr>
    </w:p>
    <w:p w14:paraId="3D33D723" w14:textId="77777777" w:rsidR="00FE2A3D" w:rsidRPr="008D4524" w:rsidRDefault="00FE2A3D" w:rsidP="00FE2A3D">
      <w:pPr>
        <w:widowControl w:val="0"/>
        <w:rPr>
          <w:snapToGrid w:val="0"/>
        </w:rPr>
      </w:pPr>
    </w:p>
    <w:p w14:paraId="08D13C53" w14:textId="77777777" w:rsidR="00FE2A3D" w:rsidRPr="008D4524" w:rsidRDefault="00FE2A3D" w:rsidP="00FE2A3D">
      <w:pPr>
        <w:widowControl w:val="0"/>
        <w:pBdr>
          <w:top w:val="single" w:sz="4" w:space="1" w:color="auto"/>
          <w:left w:val="single" w:sz="4" w:space="4" w:color="auto"/>
          <w:bottom w:val="single" w:sz="4" w:space="1" w:color="auto"/>
          <w:right w:val="single" w:sz="4" w:space="4" w:color="auto"/>
        </w:pBdr>
        <w:rPr>
          <w:b/>
          <w:snapToGrid w:val="0"/>
          <w:sz w:val="28"/>
        </w:rPr>
      </w:pPr>
      <w:r w:rsidRPr="008D4524">
        <w:rPr>
          <w:b/>
          <w:snapToGrid w:val="0"/>
          <w:sz w:val="28"/>
        </w:rPr>
        <w:t>Responses to the exporter questionnaire must be submitted via SIGBOX. Please contact the commission on the above email address to request access to SIGBOX.</w:t>
      </w:r>
    </w:p>
    <w:p w14:paraId="1A0681C9" w14:textId="77777777" w:rsidR="00515B70" w:rsidRDefault="00515B70" w:rsidP="00033ADB">
      <w:pPr>
        <w:pStyle w:val="Heading1"/>
      </w:pPr>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DF7D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DF7D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DF7D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DF7D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DF7D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DF7D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DF7DD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51784797"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39E74F53"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w:t>
      </w:r>
      <w:r w:rsidR="00FE2A3D">
        <w:rPr>
          <w:snapToGrid w:val="0"/>
        </w:rPr>
        <w:t xml:space="preserve"> </w:t>
      </w:r>
      <w:r w:rsidR="00646993">
        <w:rPr>
          <w:snapToGrid w:val="0"/>
        </w:rPr>
        <w:t>review</w:t>
      </w:r>
      <w:r w:rsidR="00FE2A3D">
        <w:rPr>
          <w:snapToGrid w:val="0"/>
        </w:rPr>
        <w:t xml:space="preserve"> </w:t>
      </w:r>
      <w:r w:rsidR="00605FAA">
        <w:rPr>
          <w:snapToGrid w:val="0"/>
        </w:rPr>
        <w:t xml:space="preserve">into </w:t>
      </w:r>
      <w:r w:rsidR="00FE2A3D" w:rsidRPr="00FE2A3D">
        <w:rPr>
          <w:snapToGrid w:val="0"/>
        </w:rPr>
        <w:t xml:space="preserve">Hot rolled structural steel </w:t>
      </w:r>
      <w:r w:rsidR="00FE2A3D" w:rsidRPr="00FE2A3D">
        <w:t>sections</w:t>
      </w:r>
      <w:r w:rsidRPr="00FE2A3D">
        <w:t xml:space="preserve"> </w:t>
      </w:r>
      <w:r w:rsidR="00884389" w:rsidRPr="00FE2A3D">
        <w:t xml:space="preserve">(the goods) </w:t>
      </w:r>
      <w:r w:rsidRPr="00FE2A3D">
        <w:t xml:space="preserve">exported to Australia from </w:t>
      </w:r>
      <w:r w:rsidR="00FE2A3D" w:rsidRPr="00FE2A3D">
        <w:t xml:space="preserve">Japan, the Republic of Korea, Taiwan (except by Feng </w:t>
      </w:r>
      <w:proofErr w:type="spellStart"/>
      <w:r w:rsidR="00FE2A3D" w:rsidRPr="00FE2A3D">
        <w:t>Hsin</w:t>
      </w:r>
      <w:proofErr w:type="spellEnd"/>
      <w:r w:rsidR="00FE2A3D" w:rsidRPr="00FE2A3D">
        <w:t xml:space="preserve"> Steel Co Ltd, T S Steel Co., Ltd and Tung Ho Steel Enterprise Corporation) and the Kingdom of Thailand</w:t>
      </w:r>
      <w:r w:rsidR="00FE2A3D">
        <w:t xml:space="preserve">. </w:t>
      </w:r>
      <w:r w:rsidR="00162238">
        <w:t xml:space="preserve">The </w:t>
      </w:r>
      <w:r w:rsidR="00AE0CD8">
        <w:t>Anti-</w:t>
      </w:r>
      <w:r w:rsidR="00162238">
        <w:t xml:space="preserve">Dumping Notice </w:t>
      </w:r>
      <w:r w:rsidR="00162238" w:rsidRPr="00FE2A3D">
        <w:rPr>
          <w:b/>
        </w:rPr>
        <w:t xml:space="preserve">No </w:t>
      </w:r>
      <w:r w:rsidR="00320DED">
        <w:rPr>
          <w:b/>
        </w:rPr>
        <w:t>2024/21</w:t>
      </w:r>
      <w:r w:rsidR="00162238" w:rsidRPr="00FE2A3D">
        <w:rPr>
          <w:b/>
        </w:rPr>
        <w:t>, available</w:t>
      </w:r>
      <w:r w:rsidR="00162238" w:rsidRPr="00884389">
        <w:t xml:space="preserv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6E99E001" w:rsidR="00884389" w:rsidRDefault="00884389" w:rsidP="00884389">
      <w:r>
        <w:t>This questionnaire seeks information in relation to your imports and sales of the goods exported to Australia.</w:t>
      </w:r>
      <w:r w:rsidR="00162238">
        <w:t xml:space="preserve"> </w:t>
      </w:r>
      <w:r w:rsidRPr="002503E7">
        <w:t xml:space="preserve">This information will be used to assist in determining export prices and non-injurious prices, to construct the Australian market for the goods, and in the assessment of </w:t>
      </w:r>
      <w:r w:rsidR="00162238" w:rsidRPr="002503E7">
        <w:t>the applicant’s injury claims.</w:t>
      </w:r>
    </w:p>
    <w:p w14:paraId="1A0681DA" w14:textId="77777777" w:rsidR="00884389" w:rsidRDefault="00884389" w:rsidP="00605FAA">
      <w:pPr>
        <w:rPr>
          <w:snapToGrid w:val="0"/>
        </w:rPr>
      </w:pPr>
    </w:p>
    <w:p w14:paraId="1A0681DB" w14:textId="5233614C" w:rsidR="00162238" w:rsidRPr="00196B09" w:rsidRDefault="00291B5D" w:rsidP="00162238">
      <w:pPr>
        <w:rPr>
          <w:snapToGrid w:val="0"/>
        </w:rPr>
      </w:pPr>
      <w:r>
        <w:t>The ADC will collect and use information in accordance with the ADC Collection and Use of Information Policy</w:t>
      </w:r>
    </w:p>
    <w:p w14:paraId="1A0681DC" w14:textId="77777777" w:rsidR="00FE025A" w:rsidRDefault="00FE025A" w:rsidP="00605FAA">
      <w:pPr>
        <w:rPr>
          <w:snapToGrid w:val="0"/>
        </w:rPr>
      </w:pPr>
    </w:p>
    <w:p w14:paraId="1A0681DD" w14:textId="51A1DCF4"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49A64E16"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0C0E8CD8"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10D19C">
      <w:pPr>
        <w:keepNext/>
        <w:rPr>
          <w:b/>
          <w:bCs/>
        </w:rPr>
      </w:pPr>
      <w:r w:rsidRPr="0010D19C">
        <w:rPr>
          <w:b/>
          <w:bCs/>
        </w:rPr>
        <w:lastRenderedPageBreak/>
        <w:t xml:space="preserve">Submitting a response to the </w:t>
      </w:r>
      <w:r w:rsidR="00423B52" w:rsidRPr="0010D19C">
        <w:rPr>
          <w:b/>
          <w:bCs/>
        </w:rPr>
        <w:t>importer</w:t>
      </w:r>
      <w:r w:rsidRPr="0010D19C">
        <w:rPr>
          <w:b/>
          <w:bCs/>
        </w:rPr>
        <w:t xml:space="preserve"> questionnaire</w:t>
      </w:r>
    </w:p>
    <w:p w14:paraId="1A0681F6" w14:textId="77777777" w:rsidR="00C01F98" w:rsidRDefault="00C01F98" w:rsidP="009E1C9E">
      <w:pPr>
        <w:keepNext/>
      </w:pPr>
    </w:p>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201" w14:textId="0D8927FB" w:rsidR="00423B52" w:rsidRDefault="00423B52" w:rsidP="00423B52">
      <w:pPr>
        <w:rPr>
          <w:snapToGrid w:val="0"/>
        </w:rPr>
      </w:pPr>
      <w:r w:rsidRPr="00423B52">
        <w:rPr>
          <w:snapToGrid w:val="0"/>
        </w:rPr>
        <w:t xml:space="preserve">It is important that you fully understand the </w:t>
      </w:r>
      <w:r w:rsidR="00646993">
        <w:rPr>
          <w:snapToGrid w:val="0"/>
        </w:rPr>
        <w:t>review</w:t>
      </w:r>
      <w:r w:rsidRPr="00423B52">
        <w:rPr>
          <w:snapToGrid w:val="0"/>
        </w:rPr>
        <w:t xml:space="preserve"> process, and the role of </w:t>
      </w:r>
      <w:r w:rsidR="00A165CB">
        <w:rPr>
          <w:snapToGrid w:val="0"/>
        </w:rPr>
        <w:t>the commission</w:t>
      </w:r>
      <w:r w:rsidRPr="00423B52">
        <w:rPr>
          <w:snapToGrid w:val="0"/>
        </w:rPr>
        <w:t xml:space="preserve"> in car</w:t>
      </w:r>
      <w:r w:rsidR="0078078F">
        <w:rPr>
          <w:snapToGrid w:val="0"/>
        </w:rPr>
        <w:t xml:space="preserve">rying out the </w:t>
      </w:r>
      <w:r w:rsidR="00646993">
        <w:rPr>
          <w:snapToGrid w:val="0"/>
        </w:rPr>
        <w:t>review</w:t>
      </w:r>
      <w:r w:rsidR="0078078F">
        <w:rPr>
          <w:snapToGrid w:val="0"/>
        </w:rPr>
        <w:t>.</w:t>
      </w:r>
      <w:r w:rsidRPr="00423B52">
        <w:rPr>
          <w:snapToGrid w:val="0"/>
        </w:rPr>
        <w:t xml:space="preserve"> To this end, the proposed visit to your company will be useful for us to explain in detail the </w:t>
      </w:r>
      <w:r w:rsidR="0012195D">
        <w:rPr>
          <w:snapToGrid w:val="0"/>
        </w:rPr>
        <w:t>review</w:t>
      </w:r>
      <w:r w:rsidR="00EC787D" w:rsidRPr="00423B52">
        <w:rPr>
          <w:snapToGrid w:val="0"/>
        </w:rPr>
        <w:t xml:space="preserve"> </w:t>
      </w:r>
      <w:r w:rsidRPr="00423B52">
        <w:rPr>
          <w:snapToGrid w:val="0"/>
        </w:rPr>
        <w:t>procedures and related issues.</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B46D3D">
      <w:pPr>
        <w:pStyle w:val="ListParagraph"/>
        <w:numPr>
          <w:ilvl w:val="0"/>
          <w:numId w:val="32"/>
        </w:numPr>
        <w:ind w:left="360" w:right="-329"/>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0A0347BF" w:rsidR="00ED2D77" w:rsidRDefault="00ED2D77" w:rsidP="00441EA0">
      <w:pPr>
        <w:pStyle w:val="ListParagraph"/>
        <w:numPr>
          <w:ilvl w:val="0"/>
          <w:numId w:val="32"/>
        </w:numPr>
        <w:ind w:left="360"/>
      </w:pPr>
      <w:r>
        <w:t xml:space="preserve">Please be aware that, if at any stage during this </w:t>
      </w:r>
      <w:r w:rsidR="003726CC">
        <w:t>review</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5B337414" w14:textId="73CA940F" w:rsidR="006A6B8F" w:rsidRDefault="00ED2D77" w:rsidP="00E22DC8">
      <w:pPr>
        <w:pStyle w:val="ListParagraph"/>
        <w:numPr>
          <w:ilvl w:val="1"/>
          <w:numId w:val="32"/>
        </w:numPr>
      </w:pPr>
      <w:r>
        <w:t xml:space="preserve">Refrain from </w:t>
      </w:r>
      <w:r w:rsidR="006A6B8F">
        <w:t>using,</w:t>
      </w:r>
      <w:r>
        <w:t xml:space="preserve"> sharing, or retaining the information in any way.</w:t>
      </w:r>
    </w:p>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1A06821C" w14:textId="0880B27B" w:rsidR="00D97DCB" w:rsidRPr="00D97DCB" w:rsidRDefault="00D97DCB" w:rsidP="00C01F98">
      <w:pPr>
        <w:rPr>
          <w:snapToGrid w:val="0"/>
        </w:rPr>
      </w:pPr>
      <w:r w:rsidRPr="00D97DCB">
        <w:rPr>
          <w:snapToGrid w:val="0"/>
        </w:rPr>
        <w:t>The goods subject to anti-dumping measures (the goods) are:</w:t>
      </w:r>
    </w:p>
    <w:p w14:paraId="1A06821D" w14:textId="77777777" w:rsidR="00D97DCB" w:rsidRDefault="00D97DCB" w:rsidP="00C01F98">
      <w:pPr>
        <w:rPr>
          <w:snapToGrid w:val="0"/>
          <w:highlight w:val="yellow"/>
        </w:rPr>
      </w:pPr>
    </w:p>
    <w:p w14:paraId="1A06821F" w14:textId="1FFEEF44" w:rsidR="00603E09" w:rsidRPr="00C01F98" w:rsidRDefault="00FE2A3D" w:rsidP="00C01F98">
      <w:pPr>
        <w:rPr>
          <w:snapToGrid w:val="0"/>
        </w:rPr>
      </w:pPr>
      <w:r w:rsidRPr="008D4524">
        <w:rPr>
          <w:snapToGrid w:val="0"/>
          <w:sz w:val="28"/>
        </w:rPr>
        <w:t>Hot rolled structural steel sections</w:t>
      </w:r>
    </w:p>
    <w:p w14:paraId="1A068220"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45A32300"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E829124" w14:textId="7248489C" w:rsidR="00FE2A3D" w:rsidRDefault="00FE2A3D" w:rsidP="00C01F98"/>
    <w:tbl>
      <w:tblPr>
        <w:tblStyle w:val="TableGrid"/>
        <w:tblW w:w="9509" w:type="dxa"/>
        <w:jc w:val="center"/>
        <w:tblLayout w:type="fixed"/>
        <w:tblCellMar>
          <w:left w:w="85" w:type="dxa"/>
          <w:right w:w="85" w:type="dxa"/>
        </w:tblCellMar>
        <w:tblLook w:val="04A0" w:firstRow="1" w:lastRow="0" w:firstColumn="1" w:lastColumn="0" w:noHBand="0" w:noVBand="1"/>
      </w:tblPr>
      <w:tblGrid>
        <w:gridCol w:w="1271"/>
        <w:gridCol w:w="4683"/>
        <w:gridCol w:w="1134"/>
        <w:gridCol w:w="1276"/>
        <w:gridCol w:w="1145"/>
      </w:tblGrid>
      <w:tr w:rsidR="00FE2A3D" w:rsidRPr="00092EEB" w14:paraId="65886EF3" w14:textId="77777777" w:rsidTr="005326C8">
        <w:trPr>
          <w:jc w:val="center"/>
        </w:trPr>
        <w:tc>
          <w:tcPr>
            <w:tcW w:w="1271" w:type="dxa"/>
            <w:shd w:val="clear" w:color="auto" w:fill="D9D9D9" w:themeFill="background1" w:themeFillShade="D9"/>
            <w:vAlign w:val="center"/>
          </w:tcPr>
          <w:p w14:paraId="2954FBC0" w14:textId="77777777" w:rsidR="00FE2A3D" w:rsidRPr="00092EEB" w:rsidRDefault="00FE2A3D" w:rsidP="005326C8">
            <w:pPr>
              <w:pStyle w:val="Header"/>
              <w:spacing w:before="60" w:after="60"/>
              <w:jc w:val="center"/>
              <w:rPr>
                <w:rFonts w:cs="Arial"/>
                <w:b/>
              </w:rPr>
            </w:pPr>
            <w:r w:rsidRPr="00092EEB">
              <w:rPr>
                <w:rFonts w:cs="Arial"/>
                <w:b/>
              </w:rPr>
              <w:t>Category</w:t>
            </w:r>
          </w:p>
        </w:tc>
        <w:tc>
          <w:tcPr>
            <w:tcW w:w="4683" w:type="dxa"/>
            <w:shd w:val="clear" w:color="auto" w:fill="D9D9D9" w:themeFill="background1" w:themeFillShade="D9"/>
            <w:vAlign w:val="center"/>
          </w:tcPr>
          <w:p w14:paraId="3C4ABDBB" w14:textId="77777777" w:rsidR="00FE2A3D" w:rsidRPr="00092EEB" w:rsidRDefault="00FE2A3D" w:rsidP="005326C8">
            <w:pPr>
              <w:pStyle w:val="Header"/>
              <w:spacing w:before="60" w:after="60"/>
              <w:ind w:left="-392" w:firstLine="392"/>
              <w:jc w:val="center"/>
              <w:rPr>
                <w:rFonts w:cs="Arial"/>
                <w:b/>
              </w:rPr>
            </w:pPr>
            <w:r w:rsidRPr="00092EEB">
              <w:rPr>
                <w:rFonts w:cs="Arial"/>
                <w:b/>
              </w:rPr>
              <w:t>Sub-category</w:t>
            </w:r>
          </w:p>
        </w:tc>
        <w:tc>
          <w:tcPr>
            <w:tcW w:w="1134" w:type="dxa"/>
            <w:shd w:val="clear" w:color="auto" w:fill="D9D9D9" w:themeFill="background1" w:themeFillShade="D9"/>
            <w:vAlign w:val="center"/>
          </w:tcPr>
          <w:p w14:paraId="1A5D85A1" w14:textId="77777777" w:rsidR="00FE2A3D" w:rsidRPr="00092EEB" w:rsidRDefault="00FE2A3D" w:rsidP="005326C8">
            <w:pPr>
              <w:pStyle w:val="Header"/>
              <w:spacing w:before="60" w:after="60"/>
              <w:ind w:left="34"/>
              <w:jc w:val="center"/>
              <w:rPr>
                <w:rFonts w:cs="Arial"/>
                <w:b/>
              </w:rPr>
            </w:pPr>
            <w:r w:rsidRPr="00092EEB">
              <w:rPr>
                <w:rFonts w:cs="Arial"/>
                <w:b/>
              </w:rPr>
              <w:t>Identifier</w:t>
            </w:r>
          </w:p>
        </w:tc>
        <w:tc>
          <w:tcPr>
            <w:tcW w:w="1276" w:type="dxa"/>
            <w:shd w:val="clear" w:color="auto" w:fill="D9D9D9" w:themeFill="background1" w:themeFillShade="D9"/>
            <w:vAlign w:val="center"/>
          </w:tcPr>
          <w:p w14:paraId="10DC2B09" w14:textId="77777777" w:rsidR="00FE2A3D" w:rsidRPr="00092EEB" w:rsidRDefault="00FE2A3D" w:rsidP="005326C8">
            <w:pPr>
              <w:pStyle w:val="Header"/>
              <w:spacing w:before="60" w:after="60"/>
              <w:jc w:val="center"/>
              <w:rPr>
                <w:rFonts w:cs="Arial"/>
                <w:b/>
              </w:rPr>
            </w:pPr>
            <w:r w:rsidRPr="00092EEB">
              <w:rPr>
                <w:rFonts w:cs="Arial"/>
                <w:b/>
              </w:rPr>
              <w:t>Sales data</w:t>
            </w:r>
          </w:p>
        </w:tc>
        <w:tc>
          <w:tcPr>
            <w:tcW w:w="1145" w:type="dxa"/>
            <w:shd w:val="clear" w:color="auto" w:fill="D9D9D9" w:themeFill="background1" w:themeFillShade="D9"/>
            <w:vAlign w:val="center"/>
          </w:tcPr>
          <w:p w14:paraId="696BBEED" w14:textId="77777777" w:rsidR="00FE2A3D" w:rsidRPr="00092EEB" w:rsidRDefault="00FE2A3D" w:rsidP="005326C8">
            <w:pPr>
              <w:pStyle w:val="Header"/>
              <w:spacing w:before="60" w:after="60"/>
              <w:jc w:val="center"/>
              <w:rPr>
                <w:rFonts w:cs="Arial"/>
                <w:b/>
              </w:rPr>
            </w:pPr>
            <w:r w:rsidRPr="00092EEB">
              <w:rPr>
                <w:rFonts w:cs="Arial"/>
                <w:b/>
              </w:rPr>
              <w:t>Cost data</w:t>
            </w:r>
          </w:p>
        </w:tc>
      </w:tr>
      <w:tr w:rsidR="00FE2A3D" w:rsidRPr="00092EEB" w14:paraId="3FF22163" w14:textId="77777777" w:rsidTr="005326C8">
        <w:trPr>
          <w:trHeight w:val="334"/>
          <w:jc w:val="center"/>
        </w:trPr>
        <w:tc>
          <w:tcPr>
            <w:tcW w:w="1271" w:type="dxa"/>
            <w:vMerge w:val="restart"/>
            <w:shd w:val="clear" w:color="auto" w:fill="auto"/>
            <w:vAlign w:val="center"/>
          </w:tcPr>
          <w:p w14:paraId="3E154CD9" w14:textId="77777777" w:rsidR="00FE2A3D" w:rsidRPr="00092EEB" w:rsidRDefault="00FE2A3D" w:rsidP="005326C8">
            <w:pPr>
              <w:pStyle w:val="Header"/>
              <w:spacing w:before="60" w:after="60"/>
              <w:jc w:val="center"/>
              <w:rPr>
                <w:rFonts w:cs="Arial"/>
              </w:rPr>
            </w:pPr>
            <w:r w:rsidRPr="00092EEB">
              <w:rPr>
                <w:rFonts w:cs="Arial"/>
              </w:rPr>
              <w:t>Prime</w:t>
            </w:r>
          </w:p>
        </w:tc>
        <w:tc>
          <w:tcPr>
            <w:tcW w:w="4683" w:type="dxa"/>
            <w:shd w:val="clear" w:color="auto" w:fill="auto"/>
            <w:vAlign w:val="center"/>
          </w:tcPr>
          <w:p w14:paraId="5232023D" w14:textId="77777777" w:rsidR="00FE2A3D" w:rsidRPr="00092EEB" w:rsidRDefault="00FE2A3D" w:rsidP="005326C8">
            <w:pPr>
              <w:pStyle w:val="Header"/>
              <w:spacing w:before="60" w:after="60"/>
              <w:ind w:left="34"/>
              <w:rPr>
                <w:rFonts w:cs="Arial"/>
              </w:rPr>
            </w:pPr>
            <w:r w:rsidRPr="00092EEB">
              <w:rPr>
                <w:rFonts w:cs="Arial"/>
              </w:rPr>
              <w:t>Prime</w:t>
            </w:r>
          </w:p>
        </w:tc>
        <w:tc>
          <w:tcPr>
            <w:tcW w:w="1134" w:type="dxa"/>
            <w:shd w:val="clear" w:color="auto" w:fill="auto"/>
            <w:vAlign w:val="center"/>
          </w:tcPr>
          <w:p w14:paraId="638CBD18" w14:textId="77777777" w:rsidR="00FE2A3D" w:rsidRPr="00092EEB" w:rsidRDefault="00FE2A3D" w:rsidP="005326C8">
            <w:pPr>
              <w:pStyle w:val="Header"/>
              <w:spacing w:before="60" w:after="60"/>
              <w:ind w:left="34"/>
              <w:jc w:val="center"/>
              <w:rPr>
                <w:rFonts w:cs="Arial"/>
              </w:rPr>
            </w:pPr>
            <w:r w:rsidRPr="00092EEB">
              <w:rPr>
                <w:rFonts w:cs="Arial"/>
              </w:rPr>
              <w:t>P</w:t>
            </w:r>
          </w:p>
        </w:tc>
        <w:tc>
          <w:tcPr>
            <w:tcW w:w="1276" w:type="dxa"/>
            <w:vMerge w:val="restart"/>
            <w:shd w:val="clear" w:color="auto" w:fill="auto"/>
            <w:vAlign w:val="center"/>
          </w:tcPr>
          <w:p w14:paraId="293F20E1" w14:textId="77777777" w:rsidR="00FE2A3D" w:rsidRPr="00092EEB" w:rsidRDefault="00FE2A3D" w:rsidP="005326C8">
            <w:pPr>
              <w:pStyle w:val="Header"/>
              <w:spacing w:before="60" w:after="60"/>
              <w:jc w:val="center"/>
              <w:rPr>
                <w:rFonts w:cs="Arial"/>
                <w:bCs/>
              </w:rPr>
            </w:pPr>
            <w:r w:rsidRPr="00092EEB">
              <w:rPr>
                <w:rFonts w:cs="Arial"/>
                <w:bCs/>
              </w:rPr>
              <w:t>Mandatory</w:t>
            </w:r>
          </w:p>
        </w:tc>
        <w:tc>
          <w:tcPr>
            <w:tcW w:w="1145" w:type="dxa"/>
            <w:vMerge w:val="restart"/>
            <w:shd w:val="clear" w:color="auto" w:fill="auto"/>
            <w:vAlign w:val="center"/>
          </w:tcPr>
          <w:p w14:paraId="75DD2570" w14:textId="77777777" w:rsidR="00FE2A3D" w:rsidRPr="00092EEB" w:rsidRDefault="00FE2A3D" w:rsidP="005326C8">
            <w:pPr>
              <w:pStyle w:val="Header"/>
              <w:spacing w:before="60" w:after="60"/>
              <w:jc w:val="center"/>
              <w:rPr>
                <w:rFonts w:cs="Arial"/>
                <w:bCs/>
              </w:rPr>
            </w:pPr>
            <w:r w:rsidRPr="00092EEB">
              <w:rPr>
                <w:rFonts w:cs="Arial"/>
                <w:bCs/>
              </w:rPr>
              <w:t>Not applicable</w:t>
            </w:r>
          </w:p>
        </w:tc>
      </w:tr>
      <w:tr w:rsidR="00FE2A3D" w:rsidRPr="00092EEB" w14:paraId="45767D01" w14:textId="77777777" w:rsidTr="005326C8">
        <w:trPr>
          <w:trHeight w:val="334"/>
          <w:jc w:val="center"/>
        </w:trPr>
        <w:tc>
          <w:tcPr>
            <w:tcW w:w="1271" w:type="dxa"/>
            <w:vMerge/>
            <w:shd w:val="clear" w:color="auto" w:fill="auto"/>
            <w:vAlign w:val="center"/>
          </w:tcPr>
          <w:p w14:paraId="46F7BBCA" w14:textId="77777777" w:rsidR="00FE2A3D" w:rsidRPr="00092EEB" w:rsidRDefault="00FE2A3D" w:rsidP="005326C8">
            <w:pPr>
              <w:pStyle w:val="Header"/>
              <w:spacing w:before="60" w:after="60"/>
              <w:jc w:val="center"/>
              <w:rPr>
                <w:rFonts w:cs="Arial"/>
              </w:rPr>
            </w:pPr>
          </w:p>
        </w:tc>
        <w:tc>
          <w:tcPr>
            <w:tcW w:w="4683" w:type="dxa"/>
            <w:shd w:val="clear" w:color="auto" w:fill="auto"/>
            <w:vAlign w:val="center"/>
          </w:tcPr>
          <w:p w14:paraId="28EC12A5" w14:textId="77777777" w:rsidR="00FE2A3D" w:rsidRPr="00092EEB" w:rsidRDefault="00FE2A3D" w:rsidP="005326C8">
            <w:pPr>
              <w:pStyle w:val="Header"/>
              <w:spacing w:before="60" w:after="60"/>
              <w:ind w:left="34"/>
              <w:rPr>
                <w:rFonts w:cs="Arial"/>
              </w:rPr>
            </w:pPr>
            <w:r w:rsidRPr="00092EEB">
              <w:rPr>
                <w:rFonts w:cs="Arial"/>
              </w:rPr>
              <w:t>Non-prime</w:t>
            </w:r>
          </w:p>
        </w:tc>
        <w:tc>
          <w:tcPr>
            <w:tcW w:w="1134" w:type="dxa"/>
            <w:shd w:val="clear" w:color="auto" w:fill="auto"/>
            <w:vAlign w:val="center"/>
          </w:tcPr>
          <w:p w14:paraId="03940AC1" w14:textId="77777777" w:rsidR="00FE2A3D" w:rsidRPr="00092EEB" w:rsidRDefault="00FE2A3D" w:rsidP="005326C8">
            <w:pPr>
              <w:pStyle w:val="Header"/>
              <w:spacing w:before="60" w:after="60"/>
              <w:ind w:left="34"/>
              <w:jc w:val="center"/>
              <w:rPr>
                <w:rFonts w:cs="Arial"/>
              </w:rPr>
            </w:pPr>
            <w:r w:rsidRPr="00092EEB">
              <w:rPr>
                <w:rFonts w:cs="Arial"/>
              </w:rPr>
              <w:t>N</w:t>
            </w:r>
          </w:p>
        </w:tc>
        <w:tc>
          <w:tcPr>
            <w:tcW w:w="1276" w:type="dxa"/>
            <w:vMerge/>
            <w:shd w:val="clear" w:color="auto" w:fill="auto"/>
            <w:vAlign w:val="center"/>
          </w:tcPr>
          <w:p w14:paraId="616D342D" w14:textId="77777777" w:rsidR="00FE2A3D" w:rsidRPr="00092EEB" w:rsidRDefault="00FE2A3D" w:rsidP="005326C8">
            <w:pPr>
              <w:pStyle w:val="Header"/>
              <w:spacing w:before="60" w:after="60"/>
              <w:jc w:val="center"/>
              <w:rPr>
                <w:rFonts w:cs="Arial"/>
                <w:bCs/>
              </w:rPr>
            </w:pPr>
          </w:p>
        </w:tc>
        <w:tc>
          <w:tcPr>
            <w:tcW w:w="1145" w:type="dxa"/>
            <w:vMerge/>
            <w:shd w:val="clear" w:color="auto" w:fill="auto"/>
            <w:vAlign w:val="center"/>
          </w:tcPr>
          <w:p w14:paraId="357786AD" w14:textId="77777777" w:rsidR="00FE2A3D" w:rsidRPr="00092EEB" w:rsidRDefault="00FE2A3D" w:rsidP="005326C8">
            <w:pPr>
              <w:pStyle w:val="Header"/>
              <w:spacing w:before="60" w:after="60"/>
              <w:jc w:val="center"/>
              <w:rPr>
                <w:rFonts w:cs="Arial"/>
                <w:bCs/>
              </w:rPr>
            </w:pPr>
          </w:p>
        </w:tc>
      </w:tr>
      <w:tr w:rsidR="00FE2A3D" w:rsidRPr="00092EEB" w14:paraId="70A2BE93" w14:textId="77777777" w:rsidTr="005326C8">
        <w:trPr>
          <w:trHeight w:val="334"/>
          <w:jc w:val="center"/>
        </w:trPr>
        <w:tc>
          <w:tcPr>
            <w:tcW w:w="1271" w:type="dxa"/>
            <w:vMerge w:val="restart"/>
            <w:shd w:val="clear" w:color="auto" w:fill="DEEAF6" w:themeFill="accent1" w:themeFillTint="33"/>
            <w:vAlign w:val="center"/>
          </w:tcPr>
          <w:p w14:paraId="6DA66740" w14:textId="77777777" w:rsidR="00FE2A3D" w:rsidRPr="00092EEB" w:rsidRDefault="00FE2A3D" w:rsidP="005326C8">
            <w:pPr>
              <w:pStyle w:val="Header"/>
              <w:spacing w:before="60" w:after="60"/>
              <w:jc w:val="center"/>
              <w:rPr>
                <w:rFonts w:cs="Arial"/>
              </w:rPr>
            </w:pPr>
            <w:r w:rsidRPr="00092EEB">
              <w:rPr>
                <w:rFonts w:cs="Arial"/>
              </w:rPr>
              <w:t>Shape</w:t>
            </w:r>
          </w:p>
        </w:tc>
        <w:tc>
          <w:tcPr>
            <w:tcW w:w="4683" w:type="dxa"/>
            <w:shd w:val="clear" w:color="auto" w:fill="DEEAF6" w:themeFill="accent1" w:themeFillTint="33"/>
            <w:vAlign w:val="center"/>
          </w:tcPr>
          <w:p w14:paraId="23D404ED" w14:textId="77777777" w:rsidR="00FE2A3D" w:rsidRPr="00092EEB" w:rsidRDefault="00FE2A3D" w:rsidP="005326C8">
            <w:pPr>
              <w:pStyle w:val="Header"/>
              <w:spacing w:before="60" w:after="60"/>
              <w:ind w:left="34"/>
              <w:rPr>
                <w:rFonts w:cs="Arial"/>
              </w:rPr>
            </w:pPr>
            <w:r w:rsidRPr="00092EEB">
              <w:rPr>
                <w:rFonts w:cs="Arial"/>
              </w:rPr>
              <w:t>Universal Beams (‘I’ sections)</w:t>
            </w:r>
          </w:p>
        </w:tc>
        <w:tc>
          <w:tcPr>
            <w:tcW w:w="1134" w:type="dxa"/>
            <w:shd w:val="clear" w:color="auto" w:fill="DEEAF6" w:themeFill="accent1" w:themeFillTint="33"/>
            <w:vAlign w:val="center"/>
          </w:tcPr>
          <w:p w14:paraId="17CDC98C" w14:textId="77777777" w:rsidR="00FE2A3D" w:rsidRPr="00092EEB" w:rsidRDefault="00FE2A3D" w:rsidP="005326C8">
            <w:pPr>
              <w:pStyle w:val="Header"/>
              <w:spacing w:before="60" w:after="60"/>
              <w:ind w:left="34"/>
              <w:jc w:val="center"/>
              <w:rPr>
                <w:rFonts w:cs="Arial"/>
              </w:rPr>
            </w:pPr>
            <w:r w:rsidRPr="00092EEB">
              <w:rPr>
                <w:rFonts w:cs="Arial"/>
              </w:rPr>
              <w:t>I</w:t>
            </w:r>
          </w:p>
        </w:tc>
        <w:tc>
          <w:tcPr>
            <w:tcW w:w="1276" w:type="dxa"/>
            <w:vMerge w:val="restart"/>
            <w:shd w:val="clear" w:color="auto" w:fill="DEEAF6" w:themeFill="accent1" w:themeFillTint="33"/>
            <w:vAlign w:val="center"/>
          </w:tcPr>
          <w:p w14:paraId="4CB9C458" w14:textId="77777777" w:rsidR="00FE2A3D" w:rsidRPr="00092EEB" w:rsidRDefault="00FE2A3D" w:rsidP="005326C8">
            <w:pPr>
              <w:pStyle w:val="Header"/>
              <w:spacing w:before="60" w:after="60"/>
              <w:jc w:val="center"/>
              <w:rPr>
                <w:rFonts w:cs="Arial"/>
                <w:bCs/>
              </w:rPr>
            </w:pPr>
            <w:r w:rsidRPr="00092EEB">
              <w:rPr>
                <w:rFonts w:cs="Arial"/>
                <w:bCs/>
              </w:rPr>
              <w:t>Mandatory</w:t>
            </w:r>
          </w:p>
        </w:tc>
        <w:tc>
          <w:tcPr>
            <w:tcW w:w="1145" w:type="dxa"/>
            <w:vMerge w:val="restart"/>
            <w:shd w:val="clear" w:color="auto" w:fill="DEEAF6" w:themeFill="accent1" w:themeFillTint="33"/>
            <w:vAlign w:val="center"/>
          </w:tcPr>
          <w:p w14:paraId="0DAE3E8F" w14:textId="77777777" w:rsidR="00FE2A3D" w:rsidRPr="00092EEB" w:rsidRDefault="00FE2A3D" w:rsidP="005326C8">
            <w:pPr>
              <w:pStyle w:val="Header"/>
              <w:spacing w:before="60" w:after="60"/>
              <w:jc w:val="center"/>
              <w:rPr>
                <w:rFonts w:cs="Arial"/>
                <w:bCs/>
              </w:rPr>
            </w:pPr>
            <w:r w:rsidRPr="00092EEB">
              <w:rPr>
                <w:rFonts w:cs="Arial"/>
                <w:bCs/>
              </w:rPr>
              <w:t>Mandatory</w:t>
            </w:r>
          </w:p>
        </w:tc>
      </w:tr>
      <w:tr w:rsidR="00FE2A3D" w:rsidRPr="00092EEB" w14:paraId="43C4F519" w14:textId="77777777" w:rsidTr="005326C8">
        <w:trPr>
          <w:trHeight w:val="335"/>
          <w:jc w:val="center"/>
        </w:trPr>
        <w:tc>
          <w:tcPr>
            <w:tcW w:w="1271" w:type="dxa"/>
            <w:vMerge/>
            <w:shd w:val="clear" w:color="auto" w:fill="DEEAF6" w:themeFill="accent1" w:themeFillTint="33"/>
            <w:vAlign w:val="center"/>
          </w:tcPr>
          <w:p w14:paraId="2E760A4F" w14:textId="77777777" w:rsidR="00FE2A3D" w:rsidRPr="00092EEB" w:rsidRDefault="00FE2A3D" w:rsidP="005326C8">
            <w:pPr>
              <w:pStyle w:val="Header"/>
              <w:spacing w:before="60" w:after="60"/>
              <w:jc w:val="center"/>
              <w:rPr>
                <w:rFonts w:cs="Arial"/>
              </w:rPr>
            </w:pPr>
          </w:p>
        </w:tc>
        <w:tc>
          <w:tcPr>
            <w:tcW w:w="4683" w:type="dxa"/>
            <w:shd w:val="clear" w:color="auto" w:fill="DEEAF6" w:themeFill="accent1" w:themeFillTint="33"/>
            <w:vAlign w:val="center"/>
          </w:tcPr>
          <w:p w14:paraId="01764AC0" w14:textId="77777777" w:rsidR="00FE2A3D" w:rsidRPr="00092EEB" w:rsidRDefault="00FE2A3D" w:rsidP="005326C8">
            <w:pPr>
              <w:pStyle w:val="Header"/>
              <w:spacing w:before="60" w:after="60"/>
              <w:ind w:left="34"/>
              <w:rPr>
                <w:rFonts w:cs="Arial"/>
              </w:rPr>
            </w:pPr>
            <w:r w:rsidRPr="00092EEB">
              <w:rPr>
                <w:rFonts w:cs="Arial"/>
              </w:rPr>
              <w:t>Universal Columns and Universal Bearing Piles (‘H’ sections)</w:t>
            </w:r>
          </w:p>
        </w:tc>
        <w:tc>
          <w:tcPr>
            <w:tcW w:w="1134" w:type="dxa"/>
            <w:shd w:val="clear" w:color="auto" w:fill="DEEAF6" w:themeFill="accent1" w:themeFillTint="33"/>
            <w:vAlign w:val="center"/>
          </w:tcPr>
          <w:p w14:paraId="321E5741" w14:textId="77777777" w:rsidR="00FE2A3D" w:rsidRPr="00092EEB" w:rsidRDefault="00FE2A3D" w:rsidP="005326C8">
            <w:pPr>
              <w:pStyle w:val="Header"/>
              <w:spacing w:before="60" w:after="60"/>
              <w:ind w:left="34"/>
              <w:jc w:val="center"/>
              <w:rPr>
                <w:rFonts w:cs="Arial"/>
              </w:rPr>
            </w:pPr>
            <w:r w:rsidRPr="00092EEB">
              <w:rPr>
                <w:rFonts w:cs="Arial"/>
              </w:rPr>
              <w:t>H</w:t>
            </w:r>
          </w:p>
        </w:tc>
        <w:tc>
          <w:tcPr>
            <w:tcW w:w="1276" w:type="dxa"/>
            <w:vMerge/>
            <w:shd w:val="clear" w:color="auto" w:fill="DEEAF6" w:themeFill="accent1" w:themeFillTint="33"/>
            <w:vAlign w:val="center"/>
          </w:tcPr>
          <w:p w14:paraId="51063899" w14:textId="77777777" w:rsidR="00FE2A3D" w:rsidRPr="00092EEB" w:rsidRDefault="00FE2A3D" w:rsidP="005326C8">
            <w:pPr>
              <w:pStyle w:val="Header"/>
              <w:spacing w:before="60" w:after="60"/>
              <w:jc w:val="center"/>
              <w:rPr>
                <w:rFonts w:cs="Arial"/>
                <w:bCs/>
              </w:rPr>
            </w:pPr>
          </w:p>
        </w:tc>
        <w:tc>
          <w:tcPr>
            <w:tcW w:w="1145" w:type="dxa"/>
            <w:vMerge/>
            <w:shd w:val="clear" w:color="auto" w:fill="DEEAF6" w:themeFill="accent1" w:themeFillTint="33"/>
            <w:vAlign w:val="center"/>
          </w:tcPr>
          <w:p w14:paraId="76B61EB5" w14:textId="77777777" w:rsidR="00FE2A3D" w:rsidRPr="00092EEB" w:rsidRDefault="00FE2A3D" w:rsidP="005326C8">
            <w:pPr>
              <w:pStyle w:val="Header"/>
              <w:spacing w:before="60" w:after="60"/>
              <w:jc w:val="center"/>
              <w:rPr>
                <w:rFonts w:cs="Arial"/>
                <w:bCs/>
              </w:rPr>
            </w:pPr>
          </w:p>
        </w:tc>
      </w:tr>
      <w:tr w:rsidR="00FE2A3D" w:rsidRPr="00092EEB" w14:paraId="1D5EB061" w14:textId="77777777" w:rsidTr="005326C8">
        <w:trPr>
          <w:trHeight w:val="335"/>
          <w:jc w:val="center"/>
        </w:trPr>
        <w:tc>
          <w:tcPr>
            <w:tcW w:w="1271" w:type="dxa"/>
            <w:vMerge/>
            <w:shd w:val="clear" w:color="auto" w:fill="DEEAF6" w:themeFill="accent1" w:themeFillTint="33"/>
            <w:vAlign w:val="center"/>
          </w:tcPr>
          <w:p w14:paraId="75FB96EC" w14:textId="77777777" w:rsidR="00FE2A3D" w:rsidRPr="00092EEB" w:rsidRDefault="00FE2A3D" w:rsidP="005326C8">
            <w:pPr>
              <w:pStyle w:val="Header"/>
              <w:spacing w:before="60" w:after="60"/>
              <w:jc w:val="center"/>
              <w:rPr>
                <w:rFonts w:cs="Arial"/>
              </w:rPr>
            </w:pPr>
          </w:p>
        </w:tc>
        <w:tc>
          <w:tcPr>
            <w:tcW w:w="4683" w:type="dxa"/>
            <w:shd w:val="clear" w:color="auto" w:fill="DEEAF6" w:themeFill="accent1" w:themeFillTint="33"/>
            <w:vAlign w:val="center"/>
          </w:tcPr>
          <w:p w14:paraId="4FD9C994" w14:textId="77777777" w:rsidR="00FE2A3D" w:rsidRPr="00092EEB" w:rsidRDefault="00FE2A3D" w:rsidP="005326C8">
            <w:pPr>
              <w:pStyle w:val="Header"/>
              <w:spacing w:before="60" w:after="60"/>
              <w:ind w:left="34"/>
              <w:rPr>
                <w:rFonts w:cs="Arial"/>
              </w:rPr>
            </w:pPr>
            <w:r w:rsidRPr="00092EEB">
              <w:rPr>
                <w:rFonts w:cs="Arial"/>
              </w:rPr>
              <w:t>Channels (‘U’ or ‘C’ sections)</w:t>
            </w:r>
          </w:p>
        </w:tc>
        <w:tc>
          <w:tcPr>
            <w:tcW w:w="1134" w:type="dxa"/>
            <w:shd w:val="clear" w:color="auto" w:fill="DEEAF6" w:themeFill="accent1" w:themeFillTint="33"/>
            <w:vAlign w:val="center"/>
          </w:tcPr>
          <w:p w14:paraId="711717B1" w14:textId="77777777" w:rsidR="00FE2A3D" w:rsidRPr="00092EEB" w:rsidRDefault="00FE2A3D" w:rsidP="005326C8">
            <w:pPr>
              <w:pStyle w:val="Header"/>
              <w:spacing w:before="60" w:after="60"/>
              <w:ind w:left="34"/>
              <w:jc w:val="center"/>
              <w:rPr>
                <w:rFonts w:cs="Arial"/>
              </w:rPr>
            </w:pPr>
            <w:r w:rsidRPr="00092EEB">
              <w:rPr>
                <w:rFonts w:cs="Arial"/>
              </w:rPr>
              <w:t>C</w:t>
            </w:r>
          </w:p>
        </w:tc>
        <w:tc>
          <w:tcPr>
            <w:tcW w:w="1276" w:type="dxa"/>
            <w:vMerge/>
            <w:shd w:val="clear" w:color="auto" w:fill="DEEAF6" w:themeFill="accent1" w:themeFillTint="33"/>
            <w:vAlign w:val="center"/>
          </w:tcPr>
          <w:p w14:paraId="1DF4D4D8" w14:textId="77777777" w:rsidR="00FE2A3D" w:rsidRPr="00092EEB" w:rsidRDefault="00FE2A3D" w:rsidP="005326C8">
            <w:pPr>
              <w:pStyle w:val="Header"/>
              <w:spacing w:before="60" w:after="60"/>
              <w:jc w:val="center"/>
              <w:rPr>
                <w:rFonts w:cs="Arial"/>
                <w:bCs/>
              </w:rPr>
            </w:pPr>
          </w:p>
        </w:tc>
        <w:tc>
          <w:tcPr>
            <w:tcW w:w="1145" w:type="dxa"/>
            <w:vMerge/>
            <w:shd w:val="clear" w:color="auto" w:fill="DEEAF6" w:themeFill="accent1" w:themeFillTint="33"/>
            <w:vAlign w:val="center"/>
          </w:tcPr>
          <w:p w14:paraId="5496198A" w14:textId="77777777" w:rsidR="00FE2A3D" w:rsidRPr="00092EEB" w:rsidRDefault="00FE2A3D" w:rsidP="005326C8">
            <w:pPr>
              <w:pStyle w:val="Header"/>
              <w:spacing w:before="60" w:after="60"/>
              <w:jc w:val="center"/>
              <w:rPr>
                <w:rFonts w:cs="Arial"/>
                <w:bCs/>
              </w:rPr>
            </w:pPr>
          </w:p>
        </w:tc>
      </w:tr>
      <w:tr w:rsidR="00FE2A3D" w:rsidRPr="00092EEB" w14:paraId="68F61490" w14:textId="77777777" w:rsidTr="005326C8">
        <w:trPr>
          <w:trHeight w:val="335"/>
          <w:jc w:val="center"/>
        </w:trPr>
        <w:tc>
          <w:tcPr>
            <w:tcW w:w="1271" w:type="dxa"/>
            <w:vMerge/>
            <w:shd w:val="clear" w:color="auto" w:fill="DEEAF6" w:themeFill="accent1" w:themeFillTint="33"/>
            <w:vAlign w:val="center"/>
          </w:tcPr>
          <w:p w14:paraId="54A14CA2" w14:textId="77777777" w:rsidR="00FE2A3D" w:rsidRPr="00092EEB" w:rsidRDefault="00FE2A3D" w:rsidP="005326C8">
            <w:pPr>
              <w:pStyle w:val="Header"/>
              <w:spacing w:before="60" w:after="60"/>
              <w:jc w:val="center"/>
              <w:rPr>
                <w:rFonts w:cs="Arial"/>
              </w:rPr>
            </w:pPr>
          </w:p>
        </w:tc>
        <w:tc>
          <w:tcPr>
            <w:tcW w:w="4683" w:type="dxa"/>
            <w:shd w:val="clear" w:color="auto" w:fill="DEEAF6" w:themeFill="accent1" w:themeFillTint="33"/>
            <w:vAlign w:val="center"/>
          </w:tcPr>
          <w:p w14:paraId="4B05C30F" w14:textId="77777777" w:rsidR="00FE2A3D" w:rsidRPr="00092EEB" w:rsidRDefault="00FE2A3D" w:rsidP="005326C8">
            <w:pPr>
              <w:pStyle w:val="Header"/>
              <w:spacing w:before="60" w:after="60"/>
              <w:ind w:left="34"/>
              <w:rPr>
                <w:rFonts w:cs="Arial"/>
              </w:rPr>
            </w:pPr>
            <w:r w:rsidRPr="00092EEB">
              <w:rPr>
                <w:rFonts w:cs="Arial"/>
              </w:rPr>
              <w:t>Angles (Equal and Unequal Angle sections)</w:t>
            </w:r>
          </w:p>
        </w:tc>
        <w:tc>
          <w:tcPr>
            <w:tcW w:w="1134" w:type="dxa"/>
            <w:shd w:val="clear" w:color="auto" w:fill="DEEAF6" w:themeFill="accent1" w:themeFillTint="33"/>
            <w:vAlign w:val="center"/>
          </w:tcPr>
          <w:p w14:paraId="3718F8FB" w14:textId="77777777" w:rsidR="00FE2A3D" w:rsidRPr="00092EEB" w:rsidRDefault="00FE2A3D" w:rsidP="005326C8">
            <w:pPr>
              <w:pStyle w:val="Header"/>
              <w:spacing w:before="60" w:after="60"/>
              <w:ind w:left="34"/>
              <w:jc w:val="center"/>
              <w:rPr>
                <w:rFonts w:cs="Arial"/>
              </w:rPr>
            </w:pPr>
            <w:r w:rsidRPr="00092EEB">
              <w:rPr>
                <w:rFonts w:cs="Arial"/>
              </w:rPr>
              <w:t>A</w:t>
            </w:r>
          </w:p>
        </w:tc>
        <w:tc>
          <w:tcPr>
            <w:tcW w:w="1276" w:type="dxa"/>
            <w:vMerge/>
            <w:shd w:val="clear" w:color="auto" w:fill="DEEAF6" w:themeFill="accent1" w:themeFillTint="33"/>
            <w:vAlign w:val="center"/>
          </w:tcPr>
          <w:p w14:paraId="5414898D" w14:textId="77777777" w:rsidR="00FE2A3D" w:rsidRPr="00092EEB" w:rsidRDefault="00FE2A3D" w:rsidP="005326C8">
            <w:pPr>
              <w:pStyle w:val="Header"/>
              <w:spacing w:before="60" w:after="60"/>
              <w:jc w:val="center"/>
              <w:rPr>
                <w:rFonts w:cs="Arial"/>
                <w:bCs/>
              </w:rPr>
            </w:pPr>
          </w:p>
        </w:tc>
        <w:tc>
          <w:tcPr>
            <w:tcW w:w="1145" w:type="dxa"/>
            <w:vMerge/>
            <w:shd w:val="clear" w:color="auto" w:fill="DEEAF6" w:themeFill="accent1" w:themeFillTint="33"/>
            <w:vAlign w:val="center"/>
          </w:tcPr>
          <w:p w14:paraId="32EDD44B" w14:textId="77777777" w:rsidR="00FE2A3D" w:rsidRPr="00092EEB" w:rsidRDefault="00FE2A3D" w:rsidP="005326C8">
            <w:pPr>
              <w:pStyle w:val="Header"/>
              <w:spacing w:before="60" w:after="60"/>
              <w:jc w:val="center"/>
              <w:rPr>
                <w:rFonts w:cs="Arial"/>
                <w:bCs/>
              </w:rPr>
            </w:pPr>
          </w:p>
        </w:tc>
      </w:tr>
      <w:tr w:rsidR="00FE2A3D" w:rsidRPr="00092EEB" w14:paraId="283E3FF5" w14:textId="77777777" w:rsidTr="005326C8">
        <w:trPr>
          <w:trHeight w:val="374"/>
          <w:jc w:val="center"/>
        </w:trPr>
        <w:tc>
          <w:tcPr>
            <w:tcW w:w="1271" w:type="dxa"/>
            <w:vMerge w:val="restart"/>
            <w:shd w:val="clear" w:color="auto" w:fill="auto"/>
            <w:vAlign w:val="center"/>
          </w:tcPr>
          <w:p w14:paraId="437FD7EA" w14:textId="77777777" w:rsidR="00FE2A3D" w:rsidRPr="00092EEB" w:rsidRDefault="00FE2A3D" w:rsidP="005326C8">
            <w:pPr>
              <w:pStyle w:val="Header"/>
              <w:spacing w:before="60" w:after="60"/>
              <w:jc w:val="center"/>
              <w:rPr>
                <w:rFonts w:cs="Arial"/>
              </w:rPr>
            </w:pPr>
            <w:r w:rsidRPr="00092EEB">
              <w:rPr>
                <w:rFonts w:cs="Arial"/>
              </w:rPr>
              <w:t>Minimum yield strength</w:t>
            </w:r>
          </w:p>
        </w:tc>
        <w:tc>
          <w:tcPr>
            <w:tcW w:w="4683" w:type="dxa"/>
            <w:shd w:val="clear" w:color="auto" w:fill="auto"/>
            <w:vAlign w:val="center"/>
          </w:tcPr>
          <w:p w14:paraId="1A8B12AA" w14:textId="77777777" w:rsidR="00FE2A3D" w:rsidRPr="00092EEB" w:rsidRDefault="00FE2A3D" w:rsidP="005326C8">
            <w:pPr>
              <w:pStyle w:val="Header"/>
              <w:spacing w:before="60" w:after="60"/>
              <w:ind w:left="34"/>
              <w:rPr>
                <w:rFonts w:cs="Arial"/>
              </w:rPr>
            </w:pPr>
            <w:r w:rsidRPr="00092EEB">
              <w:rPr>
                <w:rFonts w:cs="Arial"/>
              </w:rPr>
              <w:t>Less than 265 MPa</w:t>
            </w:r>
          </w:p>
        </w:tc>
        <w:tc>
          <w:tcPr>
            <w:tcW w:w="1134" w:type="dxa"/>
            <w:shd w:val="clear" w:color="auto" w:fill="auto"/>
            <w:vAlign w:val="center"/>
          </w:tcPr>
          <w:p w14:paraId="6457B163" w14:textId="77777777" w:rsidR="00FE2A3D" w:rsidRPr="00092EEB" w:rsidRDefault="00FE2A3D" w:rsidP="005326C8">
            <w:pPr>
              <w:pStyle w:val="Header"/>
              <w:spacing w:before="60" w:after="60"/>
              <w:ind w:left="34"/>
              <w:jc w:val="center"/>
              <w:rPr>
                <w:rFonts w:cs="Arial"/>
              </w:rPr>
            </w:pPr>
            <w:r w:rsidRPr="00092EEB">
              <w:rPr>
                <w:rFonts w:cs="Arial"/>
              </w:rPr>
              <w:t>A</w:t>
            </w:r>
          </w:p>
        </w:tc>
        <w:tc>
          <w:tcPr>
            <w:tcW w:w="1276" w:type="dxa"/>
            <w:vMerge w:val="restart"/>
            <w:shd w:val="clear" w:color="auto" w:fill="auto"/>
            <w:vAlign w:val="center"/>
          </w:tcPr>
          <w:p w14:paraId="133D148F" w14:textId="77777777" w:rsidR="00FE2A3D" w:rsidRPr="00092EEB" w:rsidRDefault="00FE2A3D" w:rsidP="005326C8">
            <w:pPr>
              <w:pStyle w:val="Header"/>
              <w:spacing w:before="60" w:after="60"/>
              <w:jc w:val="center"/>
              <w:rPr>
                <w:rFonts w:cs="Arial"/>
                <w:bCs/>
              </w:rPr>
            </w:pPr>
            <w:r w:rsidRPr="00092EEB">
              <w:rPr>
                <w:rFonts w:cs="Arial"/>
                <w:bCs/>
              </w:rPr>
              <w:t>Mandatory</w:t>
            </w:r>
          </w:p>
        </w:tc>
        <w:tc>
          <w:tcPr>
            <w:tcW w:w="1145" w:type="dxa"/>
            <w:vMerge w:val="restart"/>
            <w:shd w:val="clear" w:color="auto" w:fill="auto"/>
            <w:vAlign w:val="center"/>
          </w:tcPr>
          <w:p w14:paraId="294A7383" w14:textId="77777777" w:rsidR="00FE2A3D" w:rsidRPr="00092EEB" w:rsidRDefault="00FE2A3D" w:rsidP="005326C8">
            <w:pPr>
              <w:pStyle w:val="Header"/>
              <w:spacing w:before="60" w:after="60"/>
              <w:jc w:val="center"/>
              <w:rPr>
                <w:rFonts w:cs="Arial"/>
                <w:bCs/>
              </w:rPr>
            </w:pPr>
            <w:r w:rsidRPr="00092EEB">
              <w:rPr>
                <w:rFonts w:cs="Arial"/>
                <w:bCs/>
              </w:rPr>
              <w:t>Mandatory</w:t>
            </w:r>
          </w:p>
        </w:tc>
      </w:tr>
      <w:tr w:rsidR="00FE2A3D" w:rsidRPr="00092EEB" w14:paraId="7D5A1FE4" w14:textId="77777777" w:rsidTr="005326C8">
        <w:trPr>
          <w:trHeight w:val="335"/>
          <w:jc w:val="center"/>
        </w:trPr>
        <w:tc>
          <w:tcPr>
            <w:tcW w:w="1271" w:type="dxa"/>
            <w:vMerge/>
            <w:shd w:val="clear" w:color="auto" w:fill="auto"/>
            <w:vAlign w:val="center"/>
          </w:tcPr>
          <w:p w14:paraId="77286BE6" w14:textId="77777777" w:rsidR="00FE2A3D" w:rsidRPr="00092EEB" w:rsidRDefault="00FE2A3D" w:rsidP="005326C8">
            <w:pPr>
              <w:pStyle w:val="Header"/>
              <w:spacing w:before="60" w:after="60"/>
              <w:jc w:val="center"/>
              <w:rPr>
                <w:rFonts w:cs="Arial"/>
              </w:rPr>
            </w:pPr>
          </w:p>
        </w:tc>
        <w:tc>
          <w:tcPr>
            <w:tcW w:w="4683" w:type="dxa"/>
            <w:shd w:val="clear" w:color="auto" w:fill="auto"/>
            <w:vAlign w:val="center"/>
          </w:tcPr>
          <w:p w14:paraId="64C044D9" w14:textId="77777777" w:rsidR="00FE2A3D" w:rsidRPr="00092EEB" w:rsidRDefault="00FE2A3D" w:rsidP="005326C8">
            <w:pPr>
              <w:pStyle w:val="Header"/>
              <w:spacing w:before="60" w:after="60"/>
              <w:ind w:left="34"/>
              <w:rPr>
                <w:rFonts w:cs="Arial"/>
              </w:rPr>
            </w:pPr>
            <w:r w:rsidRPr="00092EEB">
              <w:rPr>
                <w:rFonts w:cs="Arial"/>
              </w:rPr>
              <w:t>Greater than or equal to 265 MPa</w:t>
            </w:r>
          </w:p>
        </w:tc>
        <w:tc>
          <w:tcPr>
            <w:tcW w:w="1134" w:type="dxa"/>
            <w:shd w:val="clear" w:color="auto" w:fill="auto"/>
            <w:vAlign w:val="center"/>
          </w:tcPr>
          <w:p w14:paraId="3F1E210F" w14:textId="77777777" w:rsidR="00FE2A3D" w:rsidRPr="00092EEB" w:rsidRDefault="00FE2A3D" w:rsidP="005326C8">
            <w:pPr>
              <w:pStyle w:val="Header"/>
              <w:spacing w:before="60" w:after="60"/>
              <w:ind w:left="34"/>
              <w:jc w:val="center"/>
              <w:rPr>
                <w:rFonts w:cs="Arial"/>
              </w:rPr>
            </w:pPr>
            <w:r w:rsidRPr="00092EEB">
              <w:rPr>
                <w:rFonts w:cs="Arial"/>
              </w:rPr>
              <w:t>B</w:t>
            </w:r>
          </w:p>
        </w:tc>
        <w:tc>
          <w:tcPr>
            <w:tcW w:w="1276" w:type="dxa"/>
            <w:vMerge/>
            <w:shd w:val="clear" w:color="auto" w:fill="auto"/>
            <w:vAlign w:val="center"/>
          </w:tcPr>
          <w:p w14:paraId="01E70954" w14:textId="77777777" w:rsidR="00FE2A3D" w:rsidRPr="00092EEB" w:rsidRDefault="00FE2A3D" w:rsidP="005326C8">
            <w:pPr>
              <w:pStyle w:val="Header"/>
              <w:spacing w:before="60" w:after="60"/>
              <w:jc w:val="center"/>
              <w:rPr>
                <w:rFonts w:cs="Arial"/>
              </w:rPr>
            </w:pPr>
          </w:p>
        </w:tc>
        <w:tc>
          <w:tcPr>
            <w:tcW w:w="1145" w:type="dxa"/>
            <w:vMerge/>
            <w:shd w:val="clear" w:color="auto" w:fill="auto"/>
            <w:vAlign w:val="center"/>
          </w:tcPr>
          <w:p w14:paraId="175D9CEE" w14:textId="77777777" w:rsidR="00FE2A3D" w:rsidRPr="00092EEB" w:rsidRDefault="00FE2A3D" w:rsidP="005326C8">
            <w:pPr>
              <w:pStyle w:val="Header"/>
              <w:spacing w:before="60" w:after="60"/>
              <w:jc w:val="center"/>
              <w:rPr>
                <w:rFonts w:cs="Arial"/>
              </w:rPr>
            </w:pPr>
          </w:p>
        </w:tc>
      </w:tr>
      <w:tr w:rsidR="00FE2A3D" w:rsidRPr="00092EEB" w14:paraId="3A04D8F4" w14:textId="77777777" w:rsidTr="005326C8">
        <w:trPr>
          <w:trHeight w:val="335"/>
          <w:jc w:val="center"/>
        </w:trPr>
        <w:tc>
          <w:tcPr>
            <w:tcW w:w="1271" w:type="dxa"/>
            <w:vMerge w:val="restart"/>
            <w:shd w:val="clear" w:color="auto" w:fill="DEEAF6" w:themeFill="accent1" w:themeFillTint="33"/>
            <w:vAlign w:val="center"/>
          </w:tcPr>
          <w:p w14:paraId="05865EF9" w14:textId="77777777" w:rsidR="00FE2A3D" w:rsidRPr="00092EEB" w:rsidRDefault="00FE2A3D" w:rsidP="005326C8">
            <w:pPr>
              <w:pStyle w:val="Header"/>
              <w:spacing w:before="60" w:after="60"/>
              <w:jc w:val="center"/>
              <w:rPr>
                <w:rFonts w:cs="Arial"/>
              </w:rPr>
            </w:pPr>
            <w:r w:rsidRPr="00092EEB">
              <w:rPr>
                <w:rFonts w:cs="Arial"/>
              </w:rPr>
              <w:t>Tensile strength</w:t>
            </w:r>
          </w:p>
        </w:tc>
        <w:tc>
          <w:tcPr>
            <w:tcW w:w="4683" w:type="dxa"/>
            <w:shd w:val="clear" w:color="auto" w:fill="DEEAF6" w:themeFill="accent1" w:themeFillTint="33"/>
            <w:vAlign w:val="center"/>
          </w:tcPr>
          <w:p w14:paraId="0EF634BA" w14:textId="77777777" w:rsidR="00FE2A3D" w:rsidRPr="00092EEB" w:rsidRDefault="00FE2A3D" w:rsidP="005326C8">
            <w:pPr>
              <w:pStyle w:val="Header"/>
              <w:spacing w:before="60" w:after="60"/>
              <w:ind w:left="34"/>
              <w:rPr>
                <w:rFonts w:cs="Arial"/>
              </w:rPr>
            </w:pPr>
            <w:r w:rsidRPr="00092EEB">
              <w:rPr>
                <w:rFonts w:cs="Arial"/>
              </w:rPr>
              <w:t>Less than 400 MPa</w:t>
            </w:r>
          </w:p>
        </w:tc>
        <w:tc>
          <w:tcPr>
            <w:tcW w:w="1134" w:type="dxa"/>
            <w:shd w:val="clear" w:color="auto" w:fill="DEEAF6" w:themeFill="accent1" w:themeFillTint="33"/>
            <w:vAlign w:val="center"/>
          </w:tcPr>
          <w:p w14:paraId="165174E0" w14:textId="77777777" w:rsidR="00FE2A3D" w:rsidRPr="00092EEB" w:rsidRDefault="00FE2A3D" w:rsidP="005326C8">
            <w:pPr>
              <w:pStyle w:val="Header"/>
              <w:spacing w:before="60" w:after="60"/>
              <w:ind w:left="34"/>
              <w:jc w:val="center"/>
              <w:rPr>
                <w:rFonts w:cs="Arial"/>
              </w:rPr>
            </w:pPr>
            <w:r w:rsidRPr="00092EEB">
              <w:rPr>
                <w:rFonts w:cs="Arial"/>
              </w:rPr>
              <w:t>A</w:t>
            </w:r>
          </w:p>
        </w:tc>
        <w:tc>
          <w:tcPr>
            <w:tcW w:w="1276" w:type="dxa"/>
            <w:vMerge w:val="restart"/>
            <w:shd w:val="clear" w:color="auto" w:fill="DEEAF6" w:themeFill="accent1" w:themeFillTint="33"/>
            <w:vAlign w:val="center"/>
          </w:tcPr>
          <w:p w14:paraId="4DFD7CC8" w14:textId="77777777" w:rsidR="00FE2A3D" w:rsidRPr="00092EEB" w:rsidRDefault="00FE2A3D" w:rsidP="005326C8">
            <w:pPr>
              <w:pStyle w:val="Header"/>
              <w:spacing w:before="60" w:after="60"/>
              <w:jc w:val="center"/>
              <w:rPr>
                <w:rFonts w:cs="Arial"/>
              </w:rPr>
            </w:pPr>
            <w:r w:rsidRPr="00092EEB">
              <w:rPr>
                <w:rFonts w:cs="Arial"/>
              </w:rPr>
              <w:t>Optional</w:t>
            </w:r>
          </w:p>
        </w:tc>
        <w:tc>
          <w:tcPr>
            <w:tcW w:w="1145" w:type="dxa"/>
            <w:vMerge w:val="restart"/>
            <w:shd w:val="clear" w:color="auto" w:fill="DEEAF6" w:themeFill="accent1" w:themeFillTint="33"/>
            <w:vAlign w:val="center"/>
          </w:tcPr>
          <w:p w14:paraId="10A8E278" w14:textId="77777777" w:rsidR="00FE2A3D" w:rsidRPr="00092EEB" w:rsidRDefault="00FE2A3D" w:rsidP="005326C8">
            <w:pPr>
              <w:pStyle w:val="Header"/>
              <w:spacing w:before="60" w:after="60"/>
              <w:jc w:val="center"/>
              <w:rPr>
                <w:rFonts w:cs="Arial"/>
              </w:rPr>
            </w:pPr>
            <w:r w:rsidRPr="00092EEB">
              <w:rPr>
                <w:rFonts w:cs="Arial"/>
              </w:rPr>
              <w:t>Optional</w:t>
            </w:r>
          </w:p>
        </w:tc>
      </w:tr>
      <w:tr w:rsidR="00FE2A3D" w:rsidRPr="00092EEB" w14:paraId="753282C0" w14:textId="77777777" w:rsidTr="005326C8">
        <w:trPr>
          <w:trHeight w:val="335"/>
          <w:jc w:val="center"/>
        </w:trPr>
        <w:tc>
          <w:tcPr>
            <w:tcW w:w="1271" w:type="dxa"/>
            <w:vMerge/>
            <w:shd w:val="clear" w:color="auto" w:fill="DEEAF6" w:themeFill="accent1" w:themeFillTint="33"/>
            <w:vAlign w:val="center"/>
          </w:tcPr>
          <w:p w14:paraId="6703EDCB" w14:textId="77777777" w:rsidR="00FE2A3D" w:rsidRPr="00092EEB" w:rsidRDefault="00FE2A3D" w:rsidP="005326C8">
            <w:pPr>
              <w:pStyle w:val="Header"/>
              <w:spacing w:before="60" w:after="60"/>
              <w:jc w:val="center"/>
              <w:rPr>
                <w:rFonts w:cs="Arial"/>
              </w:rPr>
            </w:pPr>
          </w:p>
        </w:tc>
        <w:tc>
          <w:tcPr>
            <w:tcW w:w="4683" w:type="dxa"/>
            <w:shd w:val="clear" w:color="auto" w:fill="DEEAF6" w:themeFill="accent1" w:themeFillTint="33"/>
            <w:vAlign w:val="center"/>
          </w:tcPr>
          <w:p w14:paraId="1CC666D4" w14:textId="77777777" w:rsidR="00FE2A3D" w:rsidRPr="00092EEB" w:rsidRDefault="00FE2A3D" w:rsidP="005326C8">
            <w:pPr>
              <w:pStyle w:val="Header"/>
              <w:spacing w:before="60" w:after="60"/>
              <w:ind w:left="34"/>
              <w:rPr>
                <w:rFonts w:cs="Arial"/>
              </w:rPr>
            </w:pPr>
            <w:r w:rsidRPr="00092EEB">
              <w:rPr>
                <w:rFonts w:cs="Arial"/>
              </w:rPr>
              <w:t>Greater than or equal to 400 MPa and less than 450 MPa</w:t>
            </w:r>
          </w:p>
        </w:tc>
        <w:tc>
          <w:tcPr>
            <w:tcW w:w="1134" w:type="dxa"/>
            <w:shd w:val="clear" w:color="auto" w:fill="DEEAF6" w:themeFill="accent1" w:themeFillTint="33"/>
            <w:vAlign w:val="center"/>
          </w:tcPr>
          <w:p w14:paraId="0263A3F1" w14:textId="77777777" w:rsidR="00FE2A3D" w:rsidRPr="00092EEB" w:rsidRDefault="00FE2A3D" w:rsidP="005326C8">
            <w:pPr>
              <w:pStyle w:val="Header"/>
              <w:spacing w:before="60" w:after="60"/>
              <w:ind w:left="34"/>
              <w:jc w:val="center"/>
              <w:rPr>
                <w:rFonts w:cs="Arial"/>
              </w:rPr>
            </w:pPr>
            <w:r w:rsidRPr="00092EEB">
              <w:rPr>
                <w:rFonts w:cs="Arial"/>
              </w:rPr>
              <w:t>B</w:t>
            </w:r>
          </w:p>
        </w:tc>
        <w:tc>
          <w:tcPr>
            <w:tcW w:w="1276" w:type="dxa"/>
            <w:vMerge/>
            <w:shd w:val="clear" w:color="auto" w:fill="DEEAF6" w:themeFill="accent1" w:themeFillTint="33"/>
            <w:vAlign w:val="center"/>
          </w:tcPr>
          <w:p w14:paraId="43950E9F" w14:textId="77777777" w:rsidR="00FE2A3D" w:rsidRPr="00092EEB" w:rsidRDefault="00FE2A3D" w:rsidP="005326C8">
            <w:pPr>
              <w:pStyle w:val="Header"/>
              <w:spacing w:before="60" w:after="60"/>
              <w:jc w:val="center"/>
              <w:rPr>
                <w:rFonts w:cs="Arial"/>
              </w:rPr>
            </w:pPr>
          </w:p>
        </w:tc>
        <w:tc>
          <w:tcPr>
            <w:tcW w:w="1145" w:type="dxa"/>
            <w:vMerge/>
            <w:shd w:val="clear" w:color="auto" w:fill="DEEAF6" w:themeFill="accent1" w:themeFillTint="33"/>
            <w:vAlign w:val="center"/>
          </w:tcPr>
          <w:p w14:paraId="485EBAD6" w14:textId="77777777" w:rsidR="00FE2A3D" w:rsidRPr="00092EEB" w:rsidRDefault="00FE2A3D" w:rsidP="005326C8">
            <w:pPr>
              <w:pStyle w:val="Header"/>
              <w:spacing w:before="60" w:after="60"/>
              <w:jc w:val="center"/>
              <w:rPr>
                <w:rFonts w:cs="Arial"/>
              </w:rPr>
            </w:pPr>
          </w:p>
        </w:tc>
      </w:tr>
      <w:tr w:rsidR="00FE2A3D" w:rsidRPr="00092EEB" w14:paraId="2DFBB17A" w14:textId="77777777" w:rsidTr="005326C8">
        <w:trPr>
          <w:trHeight w:val="334"/>
          <w:jc w:val="center"/>
        </w:trPr>
        <w:tc>
          <w:tcPr>
            <w:tcW w:w="1271" w:type="dxa"/>
            <w:vMerge/>
            <w:shd w:val="clear" w:color="auto" w:fill="DEEAF6" w:themeFill="accent1" w:themeFillTint="33"/>
            <w:vAlign w:val="center"/>
          </w:tcPr>
          <w:p w14:paraId="2DCEE5E1" w14:textId="77777777" w:rsidR="00FE2A3D" w:rsidRPr="00092EEB" w:rsidRDefault="00FE2A3D" w:rsidP="005326C8">
            <w:pPr>
              <w:pStyle w:val="Header"/>
              <w:spacing w:before="60" w:after="60"/>
              <w:jc w:val="center"/>
              <w:rPr>
                <w:rFonts w:cs="Arial"/>
              </w:rPr>
            </w:pPr>
          </w:p>
        </w:tc>
        <w:tc>
          <w:tcPr>
            <w:tcW w:w="4683" w:type="dxa"/>
            <w:shd w:val="clear" w:color="auto" w:fill="DEEAF6" w:themeFill="accent1" w:themeFillTint="33"/>
            <w:vAlign w:val="center"/>
          </w:tcPr>
          <w:p w14:paraId="7555B264" w14:textId="77777777" w:rsidR="00FE2A3D" w:rsidRPr="00092EEB" w:rsidRDefault="00FE2A3D" w:rsidP="005326C8">
            <w:pPr>
              <w:pStyle w:val="Header"/>
              <w:spacing w:before="60" w:after="60"/>
              <w:ind w:left="34"/>
              <w:rPr>
                <w:rFonts w:cs="Arial"/>
              </w:rPr>
            </w:pPr>
            <w:r w:rsidRPr="00092EEB">
              <w:rPr>
                <w:rFonts w:cs="Arial"/>
              </w:rPr>
              <w:t>Greater than or equal to 450 MPa and less than 500 MPa</w:t>
            </w:r>
          </w:p>
        </w:tc>
        <w:tc>
          <w:tcPr>
            <w:tcW w:w="1134" w:type="dxa"/>
            <w:shd w:val="clear" w:color="auto" w:fill="DEEAF6" w:themeFill="accent1" w:themeFillTint="33"/>
            <w:vAlign w:val="center"/>
          </w:tcPr>
          <w:p w14:paraId="73A9955E" w14:textId="77777777" w:rsidR="00FE2A3D" w:rsidRPr="00092EEB" w:rsidRDefault="00FE2A3D" w:rsidP="005326C8">
            <w:pPr>
              <w:pStyle w:val="Header"/>
              <w:spacing w:before="60" w:after="60"/>
              <w:ind w:left="34"/>
              <w:jc w:val="center"/>
              <w:rPr>
                <w:rFonts w:cs="Arial"/>
              </w:rPr>
            </w:pPr>
            <w:r w:rsidRPr="00092EEB">
              <w:rPr>
                <w:rFonts w:cs="Arial"/>
              </w:rPr>
              <w:t>C</w:t>
            </w:r>
          </w:p>
        </w:tc>
        <w:tc>
          <w:tcPr>
            <w:tcW w:w="1276" w:type="dxa"/>
            <w:vMerge/>
            <w:shd w:val="clear" w:color="auto" w:fill="DEEAF6" w:themeFill="accent1" w:themeFillTint="33"/>
            <w:vAlign w:val="center"/>
          </w:tcPr>
          <w:p w14:paraId="4BD43ED8" w14:textId="77777777" w:rsidR="00FE2A3D" w:rsidRPr="00092EEB" w:rsidRDefault="00FE2A3D" w:rsidP="005326C8">
            <w:pPr>
              <w:pStyle w:val="Header"/>
              <w:spacing w:before="60" w:after="60"/>
              <w:jc w:val="center"/>
              <w:rPr>
                <w:rFonts w:cs="Arial"/>
              </w:rPr>
            </w:pPr>
          </w:p>
        </w:tc>
        <w:tc>
          <w:tcPr>
            <w:tcW w:w="1145" w:type="dxa"/>
            <w:vMerge/>
            <w:shd w:val="clear" w:color="auto" w:fill="DEEAF6" w:themeFill="accent1" w:themeFillTint="33"/>
            <w:vAlign w:val="center"/>
          </w:tcPr>
          <w:p w14:paraId="287BBC83" w14:textId="77777777" w:rsidR="00FE2A3D" w:rsidRPr="00092EEB" w:rsidRDefault="00FE2A3D" w:rsidP="005326C8">
            <w:pPr>
              <w:pStyle w:val="Header"/>
              <w:spacing w:before="60" w:after="60"/>
              <w:jc w:val="center"/>
              <w:rPr>
                <w:rFonts w:cs="Arial"/>
              </w:rPr>
            </w:pPr>
          </w:p>
        </w:tc>
      </w:tr>
      <w:tr w:rsidR="00FE2A3D" w:rsidRPr="00092EEB" w14:paraId="20D8F4BC" w14:textId="77777777" w:rsidTr="005326C8">
        <w:trPr>
          <w:trHeight w:val="335"/>
          <w:jc w:val="center"/>
        </w:trPr>
        <w:tc>
          <w:tcPr>
            <w:tcW w:w="1271" w:type="dxa"/>
            <w:vMerge/>
            <w:shd w:val="clear" w:color="auto" w:fill="DEEAF6" w:themeFill="accent1" w:themeFillTint="33"/>
            <w:vAlign w:val="center"/>
          </w:tcPr>
          <w:p w14:paraId="2BD45E87" w14:textId="77777777" w:rsidR="00FE2A3D" w:rsidRPr="00092EEB" w:rsidRDefault="00FE2A3D" w:rsidP="005326C8">
            <w:pPr>
              <w:pStyle w:val="Header"/>
              <w:spacing w:before="60" w:after="60"/>
              <w:jc w:val="center"/>
              <w:rPr>
                <w:rFonts w:cs="Arial"/>
              </w:rPr>
            </w:pPr>
          </w:p>
        </w:tc>
        <w:tc>
          <w:tcPr>
            <w:tcW w:w="4683" w:type="dxa"/>
            <w:shd w:val="clear" w:color="auto" w:fill="DEEAF6" w:themeFill="accent1" w:themeFillTint="33"/>
            <w:vAlign w:val="center"/>
          </w:tcPr>
          <w:p w14:paraId="0D3B2648" w14:textId="77777777" w:rsidR="00FE2A3D" w:rsidRPr="00092EEB" w:rsidRDefault="00FE2A3D" w:rsidP="005326C8">
            <w:pPr>
              <w:pStyle w:val="Header"/>
              <w:spacing w:before="60" w:after="60"/>
              <w:ind w:left="34"/>
              <w:rPr>
                <w:rFonts w:cs="Arial"/>
              </w:rPr>
            </w:pPr>
            <w:r w:rsidRPr="00092EEB">
              <w:rPr>
                <w:rFonts w:cs="Arial"/>
              </w:rPr>
              <w:t>Greater than or equal to 500 MPa</w:t>
            </w:r>
          </w:p>
        </w:tc>
        <w:tc>
          <w:tcPr>
            <w:tcW w:w="1134" w:type="dxa"/>
            <w:shd w:val="clear" w:color="auto" w:fill="DEEAF6" w:themeFill="accent1" w:themeFillTint="33"/>
            <w:vAlign w:val="center"/>
          </w:tcPr>
          <w:p w14:paraId="31384557" w14:textId="77777777" w:rsidR="00FE2A3D" w:rsidRPr="00092EEB" w:rsidRDefault="00FE2A3D" w:rsidP="005326C8">
            <w:pPr>
              <w:pStyle w:val="Header"/>
              <w:spacing w:before="60" w:after="60"/>
              <w:ind w:left="34"/>
              <w:jc w:val="center"/>
              <w:rPr>
                <w:rFonts w:cs="Arial"/>
              </w:rPr>
            </w:pPr>
            <w:r w:rsidRPr="00092EEB">
              <w:rPr>
                <w:rFonts w:cs="Arial"/>
              </w:rPr>
              <w:t>D</w:t>
            </w:r>
          </w:p>
        </w:tc>
        <w:tc>
          <w:tcPr>
            <w:tcW w:w="1276" w:type="dxa"/>
            <w:vMerge/>
            <w:shd w:val="clear" w:color="auto" w:fill="DEEAF6" w:themeFill="accent1" w:themeFillTint="33"/>
            <w:vAlign w:val="center"/>
          </w:tcPr>
          <w:p w14:paraId="56C8E263" w14:textId="77777777" w:rsidR="00FE2A3D" w:rsidRPr="00092EEB" w:rsidRDefault="00FE2A3D" w:rsidP="005326C8">
            <w:pPr>
              <w:pStyle w:val="Header"/>
              <w:spacing w:before="60" w:after="60"/>
              <w:jc w:val="center"/>
              <w:rPr>
                <w:rFonts w:cs="Arial"/>
              </w:rPr>
            </w:pPr>
          </w:p>
        </w:tc>
        <w:tc>
          <w:tcPr>
            <w:tcW w:w="1145" w:type="dxa"/>
            <w:vMerge/>
            <w:shd w:val="clear" w:color="auto" w:fill="DEEAF6" w:themeFill="accent1" w:themeFillTint="33"/>
            <w:vAlign w:val="center"/>
          </w:tcPr>
          <w:p w14:paraId="73A1CA40" w14:textId="77777777" w:rsidR="00FE2A3D" w:rsidRPr="00092EEB" w:rsidRDefault="00FE2A3D" w:rsidP="005326C8">
            <w:pPr>
              <w:pStyle w:val="Header"/>
              <w:spacing w:before="60" w:after="60"/>
              <w:jc w:val="center"/>
              <w:rPr>
                <w:rFonts w:cs="Arial"/>
              </w:rPr>
            </w:pPr>
          </w:p>
        </w:tc>
      </w:tr>
      <w:tr w:rsidR="00FE2A3D" w:rsidRPr="00092EEB" w14:paraId="6ADA5AD7" w14:textId="77777777" w:rsidTr="005326C8">
        <w:trPr>
          <w:trHeight w:val="335"/>
          <w:jc w:val="center"/>
        </w:trPr>
        <w:tc>
          <w:tcPr>
            <w:tcW w:w="1271" w:type="dxa"/>
            <w:vMerge w:val="restart"/>
            <w:shd w:val="clear" w:color="auto" w:fill="auto"/>
            <w:vAlign w:val="center"/>
          </w:tcPr>
          <w:p w14:paraId="3E3190F6" w14:textId="77777777" w:rsidR="00FE2A3D" w:rsidRPr="00092EEB" w:rsidRDefault="00FE2A3D" w:rsidP="005326C8">
            <w:pPr>
              <w:pStyle w:val="Header"/>
              <w:spacing w:before="60" w:after="60"/>
              <w:jc w:val="center"/>
              <w:rPr>
                <w:rFonts w:cs="Arial"/>
              </w:rPr>
            </w:pPr>
            <w:r w:rsidRPr="00092EEB">
              <w:rPr>
                <w:rFonts w:cs="Arial"/>
              </w:rPr>
              <w:t>Thickness</w:t>
            </w:r>
          </w:p>
        </w:tc>
        <w:tc>
          <w:tcPr>
            <w:tcW w:w="4683" w:type="dxa"/>
            <w:shd w:val="clear" w:color="auto" w:fill="auto"/>
            <w:vAlign w:val="center"/>
          </w:tcPr>
          <w:p w14:paraId="0E92FDD8" w14:textId="77777777" w:rsidR="00FE2A3D" w:rsidRPr="00092EEB" w:rsidRDefault="00FE2A3D" w:rsidP="005326C8">
            <w:pPr>
              <w:pStyle w:val="Header"/>
              <w:spacing w:before="60" w:after="60"/>
              <w:ind w:left="34"/>
              <w:rPr>
                <w:rFonts w:cs="Arial"/>
              </w:rPr>
            </w:pPr>
            <w:r w:rsidRPr="00092EEB">
              <w:rPr>
                <w:rFonts w:cs="Arial"/>
              </w:rPr>
              <w:t xml:space="preserve">Minimum cross-sectional thickness less than </w:t>
            </w:r>
            <w:r>
              <w:rPr>
                <w:rFonts w:cs="Arial"/>
              </w:rPr>
              <w:br/>
            </w:r>
            <w:r w:rsidRPr="00092EEB">
              <w:rPr>
                <w:rFonts w:cs="Arial"/>
              </w:rPr>
              <w:t>11 mm</w:t>
            </w:r>
          </w:p>
        </w:tc>
        <w:tc>
          <w:tcPr>
            <w:tcW w:w="1134" w:type="dxa"/>
            <w:shd w:val="clear" w:color="auto" w:fill="auto"/>
            <w:vAlign w:val="center"/>
          </w:tcPr>
          <w:p w14:paraId="3820FE18" w14:textId="77777777" w:rsidR="00FE2A3D" w:rsidRPr="00092EEB" w:rsidRDefault="00FE2A3D" w:rsidP="005326C8">
            <w:pPr>
              <w:pStyle w:val="Header"/>
              <w:spacing w:before="60" w:after="60"/>
              <w:ind w:left="34"/>
              <w:jc w:val="center"/>
              <w:rPr>
                <w:rFonts w:cs="Arial"/>
              </w:rPr>
            </w:pPr>
            <w:r w:rsidRPr="00092EEB">
              <w:rPr>
                <w:rFonts w:cs="Arial"/>
              </w:rPr>
              <w:t>1</w:t>
            </w:r>
          </w:p>
        </w:tc>
        <w:tc>
          <w:tcPr>
            <w:tcW w:w="1276" w:type="dxa"/>
            <w:vMerge w:val="restart"/>
            <w:shd w:val="clear" w:color="auto" w:fill="auto"/>
            <w:vAlign w:val="center"/>
          </w:tcPr>
          <w:p w14:paraId="64C0A227" w14:textId="77777777" w:rsidR="00FE2A3D" w:rsidRPr="00092EEB" w:rsidRDefault="00FE2A3D" w:rsidP="005326C8">
            <w:pPr>
              <w:pStyle w:val="Header"/>
              <w:spacing w:before="60" w:after="60"/>
              <w:jc w:val="center"/>
              <w:rPr>
                <w:rFonts w:cs="Arial"/>
              </w:rPr>
            </w:pPr>
            <w:r w:rsidRPr="00092EEB">
              <w:rPr>
                <w:rFonts w:cs="Arial"/>
              </w:rPr>
              <w:t>Optional</w:t>
            </w:r>
          </w:p>
        </w:tc>
        <w:tc>
          <w:tcPr>
            <w:tcW w:w="1145" w:type="dxa"/>
            <w:vMerge w:val="restart"/>
            <w:shd w:val="clear" w:color="auto" w:fill="auto"/>
            <w:vAlign w:val="center"/>
          </w:tcPr>
          <w:p w14:paraId="4D199E4A" w14:textId="77777777" w:rsidR="00FE2A3D" w:rsidRPr="00092EEB" w:rsidRDefault="00FE2A3D" w:rsidP="005326C8">
            <w:pPr>
              <w:pStyle w:val="Header"/>
              <w:spacing w:before="60" w:after="60"/>
              <w:jc w:val="center"/>
              <w:rPr>
                <w:rFonts w:cs="Arial"/>
              </w:rPr>
            </w:pPr>
            <w:r w:rsidRPr="00092EEB">
              <w:rPr>
                <w:rFonts w:cs="Arial"/>
              </w:rPr>
              <w:t>Optional</w:t>
            </w:r>
          </w:p>
        </w:tc>
      </w:tr>
      <w:tr w:rsidR="00FE2A3D" w:rsidRPr="00092EEB" w14:paraId="73CEF02C" w14:textId="77777777" w:rsidTr="005326C8">
        <w:trPr>
          <w:trHeight w:val="335"/>
          <w:jc w:val="center"/>
        </w:trPr>
        <w:tc>
          <w:tcPr>
            <w:tcW w:w="1271" w:type="dxa"/>
            <w:vMerge/>
            <w:shd w:val="clear" w:color="auto" w:fill="auto"/>
            <w:vAlign w:val="center"/>
          </w:tcPr>
          <w:p w14:paraId="55DBE1C4" w14:textId="77777777" w:rsidR="00FE2A3D" w:rsidRPr="00092EEB" w:rsidRDefault="00FE2A3D" w:rsidP="005326C8">
            <w:pPr>
              <w:pStyle w:val="Header"/>
              <w:spacing w:before="60" w:after="60"/>
              <w:jc w:val="center"/>
              <w:rPr>
                <w:rFonts w:cs="Arial"/>
              </w:rPr>
            </w:pPr>
          </w:p>
        </w:tc>
        <w:tc>
          <w:tcPr>
            <w:tcW w:w="4683" w:type="dxa"/>
            <w:shd w:val="clear" w:color="auto" w:fill="auto"/>
            <w:vAlign w:val="center"/>
          </w:tcPr>
          <w:p w14:paraId="6F70F930" w14:textId="77777777" w:rsidR="00FE2A3D" w:rsidRPr="00092EEB" w:rsidRDefault="00FE2A3D" w:rsidP="005326C8">
            <w:pPr>
              <w:pStyle w:val="Header"/>
              <w:spacing w:before="60" w:after="60"/>
              <w:ind w:left="34"/>
              <w:rPr>
                <w:rFonts w:cs="Arial"/>
              </w:rPr>
            </w:pPr>
            <w:r w:rsidRPr="00092EEB">
              <w:rPr>
                <w:rFonts w:cs="Arial"/>
              </w:rPr>
              <w:t>Minimum cross-sectional thickness greater than or equal to 11 mm</w:t>
            </w:r>
          </w:p>
        </w:tc>
        <w:tc>
          <w:tcPr>
            <w:tcW w:w="1134" w:type="dxa"/>
            <w:shd w:val="clear" w:color="auto" w:fill="auto"/>
            <w:vAlign w:val="center"/>
          </w:tcPr>
          <w:p w14:paraId="5C14903C" w14:textId="77777777" w:rsidR="00FE2A3D" w:rsidRPr="00092EEB" w:rsidRDefault="00FE2A3D" w:rsidP="005326C8">
            <w:pPr>
              <w:pStyle w:val="Header"/>
              <w:spacing w:before="60" w:after="60"/>
              <w:ind w:left="34"/>
              <w:jc w:val="center"/>
              <w:rPr>
                <w:rFonts w:cs="Arial"/>
              </w:rPr>
            </w:pPr>
            <w:r w:rsidRPr="00092EEB">
              <w:rPr>
                <w:rFonts w:cs="Arial"/>
              </w:rPr>
              <w:t>2</w:t>
            </w:r>
          </w:p>
        </w:tc>
        <w:tc>
          <w:tcPr>
            <w:tcW w:w="1276" w:type="dxa"/>
            <w:vMerge/>
            <w:shd w:val="clear" w:color="auto" w:fill="auto"/>
            <w:vAlign w:val="center"/>
          </w:tcPr>
          <w:p w14:paraId="1BEE39EC" w14:textId="77777777" w:rsidR="00FE2A3D" w:rsidRPr="00092EEB" w:rsidRDefault="00FE2A3D" w:rsidP="005326C8">
            <w:pPr>
              <w:pStyle w:val="Header"/>
              <w:spacing w:before="60" w:after="60"/>
              <w:jc w:val="center"/>
              <w:rPr>
                <w:rFonts w:cs="Arial"/>
              </w:rPr>
            </w:pPr>
          </w:p>
        </w:tc>
        <w:tc>
          <w:tcPr>
            <w:tcW w:w="1145" w:type="dxa"/>
            <w:vMerge/>
            <w:shd w:val="clear" w:color="auto" w:fill="auto"/>
            <w:vAlign w:val="center"/>
          </w:tcPr>
          <w:p w14:paraId="1D30CA55" w14:textId="77777777" w:rsidR="00FE2A3D" w:rsidRPr="00092EEB" w:rsidRDefault="00FE2A3D" w:rsidP="005326C8">
            <w:pPr>
              <w:pStyle w:val="Header"/>
              <w:spacing w:before="60" w:after="60"/>
              <w:jc w:val="center"/>
              <w:rPr>
                <w:rFonts w:cs="Arial"/>
              </w:rPr>
            </w:pPr>
          </w:p>
        </w:tc>
      </w:tr>
      <w:tr w:rsidR="00FE2A3D" w:rsidRPr="00092EEB" w14:paraId="2D7C207A" w14:textId="77777777" w:rsidTr="005326C8">
        <w:trPr>
          <w:trHeight w:val="335"/>
          <w:jc w:val="center"/>
        </w:trPr>
        <w:tc>
          <w:tcPr>
            <w:tcW w:w="1271" w:type="dxa"/>
            <w:vMerge w:val="restart"/>
            <w:shd w:val="clear" w:color="auto" w:fill="DEEAF6" w:themeFill="accent1" w:themeFillTint="33"/>
            <w:vAlign w:val="center"/>
          </w:tcPr>
          <w:p w14:paraId="64E0CB42" w14:textId="77777777" w:rsidR="00FE2A3D" w:rsidRPr="00092EEB" w:rsidRDefault="00FE2A3D" w:rsidP="005326C8">
            <w:pPr>
              <w:pStyle w:val="Header"/>
              <w:spacing w:before="60" w:after="60"/>
              <w:jc w:val="center"/>
              <w:rPr>
                <w:rFonts w:cs="Arial"/>
              </w:rPr>
            </w:pPr>
            <w:r w:rsidRPr="00092EEB">
              <w:rPr>
                <w:rFonts w:cs="Arial"/>
              </w:rPr>
              <w:t>Dimension</w:t>
            </w:r>
          </w:p>
        </w:tc>
        <w:tc>
          <w:tcPr>
            <w:tcW w:w="4683" w:type="dxa"/>
            <w:shd w:val="clear" w:color="auto" w:fill="DEEAF6" w:themeFill="accent1" w:themeFillTint="33"/>
            <w:vAlign w:val="center"/>
          </w:tcPr>
          <w:p w14:paraId="1EE285CF" w14:textId="77777777" w:rsidR="00FE2A3D" w:rsidRPr="00092EEB" w:rsidRDefault="00FE2A3D" w:rsidP="005326C8">
            <w:pPr>
              <w:pStyle w:val="Header"/>
              <w:spacing w:before="60" w:after="60"/>
              <w:ind w:left="34"/>
              <w:rPr>
                <w:rFonts w:cs="Arial"/>
              </w:rPr>
            </w:pPr>
            <w:r w:rsidRPr="00092EEB">
              <w:rPr>
                <w:rFonts w:cs="Arial"/>
              </w:rPr>
              <w:t>Beam or section height less than 230 mm</w:t>
            </w:r>
          </w:p>
        </w:tc>
        <w:tc>
          <w:tcPr>
            <w:tcW w:w="1134" w:type="dxa"/>
            <w:shd w:val="clear" w:color="auto" w:fill="DEEAF6" w:themeFill="accent1" w:themeFillTint="33"/>
            <w:vAlign w:val="center"/>
          </w:tcPr>
          <w:p w14:paraId="73342013" w14:textId="77777777" w:rsidR="00FE2A3D" w:rsidRPr="00092EEB" w:rsidRDefault="00FE2A3D" w:rsidP="005326C8">
            <w:pPr>
              <w:pStyle w:val="Header"/>
              <w:spacing w:before="60" w:after="60"/>
              <w:ind w:left="34"/>
              <w:jc w:val="center"/>
              <w:rPr>
                <w:rFonts w:cs="Arial"/>
              </w:rPr>
            </w:pPr>
            <w:r w:rsidRPr="00092EEB">
              <w:rPr>
                <w:rFonts w:cs="Arial"/>
              </w:rPr>
              <w:t>S</w:t>
            </w:r>
          </w:p>
        </w:tc>
        <w:tc>
          <w:tcPr>
            <w:tcW w:w="1276" w:type="dxa"/>
            <w:vMerge w:val="restart"/>
            <w:shd w:val="clear" w:color="auto" w:fill="DEEAF6" w:themeFill="accent1" w:themeFillTint="33"/>
            <w:vAlign w:val="center"/>
          </w:tcPr>
          <w:p w14:paraId="31BF7CDA" w14:textId="77777777" w:rsidR="00FE2A3D" w:rsidRPr="00092EEB" w:rsidRDefault="00FE2A3D" w:rsidP="005326C8">
            <w:pPr>
              <w:pStyle w:val="Header"/>
              <w:spacing w:before="60" w:after="60"/>
              <w:jc w:val="center"/>
              <w:rPr>
                <w:rFonts w:cs="Arial"/>
              </w:rPr>
            </w:pPr>
            <w:r w:rsidRPr="00092EEB">
              <w:rPr>
                <w:rFonts w:cs="Arial"/>
              </w:rPr>
              <w:t>Optional</w:t>
            </w:r>
          </w:p>
        </w:tc>
        <w:tc>
          <w:tcPr>
            <w:tcW w:w="1145" w:type="dxa"/>
            <w:vMerge w:val="restart"/>
            <w:shd w:val="clear" w:color="auto" w:fill="DEEAF6" w:themeFill="accent1" w:themeFillTint="33"/>
            <w:vAlign w:val="center"/>
          </w:tcPr>
          <w:p w14:paraId="1A258C17" w14:textId="77777777" w:rsidR="00FE2A3D" w:rsidRPr="00092EEB" w:rsidRDefault="00FE2A3D" w:rsidP="005326C8">
            <w:pPr>
              <w:pStyle w:val="Header"/>
              <w:spacing w:before="60" w:after="60"/>
              <w:jc w:val="center"/>
              <w:rPr>
                <w:rFonts w:cs="Arial"/>
              </w:rPr>
            </w:pPr>
            <w:r w:rsidRPr="00092EEB">
              <w:rPr>
                <w:rFonts w:cs="Arial"/>
              </w:rPr>
              <w:t>Optional</w:t>
            </w:r>
          </w:p>
        </w:tc>
      </w:tr>
      <w:tr w:rsidR="00FE2A3D" w:rsidRPr="00092EEB" w14:paraId="323C4538" w14:textId="77777777" w:rsidTr="005326C8">
        <w:trPr>
          <w:trHeight w:val="335"/>
          <w:jc w:val="center"/>
        </w:trPr>
        <w:tc>
          <w:tcPr>
            <w:tcW w:w="1271" w:type="dxa"/>
            <w:vMerge/>
            <w:shd w:val="clear" w:color="auto" w:fill="DEEAF6" w:themeFill="accent1" w:themeFillTint="33"/>
            <w:vAlign w:val="center"/>
          </w:tcPr>
          <w:p w14:paraId="0DF6C529" w14:textId="77777777" w:rsidR="00FE2A3D" w:rsidRPr="00092EEB" w:rsidRDefault="00FE2A3D" w:rsidP="005326C8">
            <w:pPr>
              <w:pStyle w:val="Header"/>
              <w:spacing w:before="60" w:after="60"/>
              <w:jc w:val="center"/>
              <w:rPr>
                <w:rFonts w:cs="Arial"/>
              </w:rPr>
            </w:pPr>
          </w:p>
        </w:tc>
        <w:tc>
          <w:tcPr>
            <w:tcW w:w="4683" w:type="dxa"/>
            <w:shd w:val="clear" w:color="auto" w:fill="DEEAF6" w:themeFill="accent1" w:themeFillTint="33"/>
            <w:vAlign w:val="center"/>
          </w:tcPr>
          <w:p w14:paraId="4EF66B65" w14:textId="77777777" w:rsidR="00FE2A3D" w:rsidRPr="00092EEB" w:rsidRDefault="00FE2A3D" w:rsidP="005326C8">
            <w:pPr>
              <w:pStyle w:val="Header"/>
              <w:spacing w:before="60" w:after="60"/>
              <w:ind w:left="34"/>
              <w:rPr>
                <w:rFonts w:cs="Arial"/>
              </w:rPr>
            </w:pPr>
            <w:r w:rsidRPr="00092EEB">
              <w:rPr>
                <w:rFonts w:cs="Arial"/>
              </w:rPr>
              <w:t>Beam or section height equal to or greater than 230 mm</w:t>
            </w:r>
          </w:p>
        </w:tc>
        <w:tc>
          <w:tcPr>
            <w:tcW w:w="1134" w:type="dxa"/>
            <w:shd w:val="clear" w:color="auto" w:fill="DEEAF6" w:themeFill="accent1" w:themeFillTint="33"/>
            <w:vAlign w:val="center"/>
          </w:tcPr>
          <w:p w14:paraId="5E82CFB1" w14:textId="77777777" w:rsidR="00FE2A3D" w:rsidRPr="00092EEB" w:rsidRDefault="00FE2A3D" w:rsidP="005326C8">
            <w:pPr>
              <w:pStyle w:val="Header"/>
              <w:spacing w:before="60" w:after="60"/>
              <w:ind w:left="34"/>
              <w:jc w:val="center"/>
              <w:rPr>
                <w:rFonts w:cs="Arial"/>
              </w:rPr>
            </w:pPr>
            <w:r w:rsidRPr="00092EEB">
              <w:rPr>
                <w:rFonts w:cs="Arial"/>
              </w:rPr>
              <w:t>L</w:t>
            </w:r>
          </w:p>
        </w:tc>
        <w:tc>
          <w:tcPr>
            <w:tcW w:w="1276" w:type="dxa"/>
            <w:vMerge/>
            <w:shd w:val="clear" w:color="auto" w:fill="DEEAF6" w:themeFill="accent1" w:themeFillTint="33"/>
            <w:vAlign w:val="center"/>
          </w:tcPr>
          <w:p w14:paraId="5B669683" w14:textId="77777777" w:rsidR="00FE2A3D" w:rsidRPr="00092EEB" w:rsidRDefault="00FE2A3D" w:rsidP="005326C8">
            <w:pPr>
              <w:pStyle w:val="Header"/>
              <w:spacing w:before="60" w:after="60"/>
              <w:jc w:val="center"/>
              <w:rPr>
                <w:rFonts w:cs="Arial"/>
              </w:rPr>
            </w:pPr>
          </w:p>
        </w:tc>
        <w:tc>
          <w:tcPr>
            <w:tcW w:w="1145" w:type="dxa"/>
            <w:vMerge/>
            <w:shd w:val="clear" w:color="auto" w:fill="DEEAF6" w:themeFill="accent1" w:themeFillTint="33"/>
            <w:vAlign w:val="center"/>
          </w:tcPr>
          <w:p w14:paraId="09A8F7EF" w14:textId="77777777" w:rsidR="00FE2A3D" w:rsidRPr="00092EEB" w:rsidRDefault="00FE2A3D" w:rsidP="005326C8">
            <w:pPr>
              <w:pStyle w:val="Header"/>
              <w:spacing w:before="60" w:after="60"/>
              <w:jc w:val="center"/>
              <w:rPr>
                <w:rFonts w:cs="Arial"/>
              </w:rPr>
            </w:pPr>
          </w:p>
        </w:tc>
      </w:tr>
      <w:tr w:rsidR="00FE2A3D" w:rsidRPr="00092EEB" w14:paraId="418C12F8" w14:textId="77777777" w:rsidTr="005326C8">
        <w:trPr>
          <w:trHeight w:val="335"/>
          <w:jc w:val="center"/>
        </w:trPr>
        <w:tc>
          <w:tcPr>
            <w:tcW w:w="1271" w:type="dxa"/>
            <w:shd w:val="clear" w:color="auto" w:fill="auto"/>
            <w:vAlign w:val="center"/>
          </w:tcPr>
          <w:p w14:paraId="4D38546D" w14:textId="77777777" w:rsidR="00FE2A3D" w:rsidRPr="00092EEB" w:rsidRDefault="00FE2A3D" w:rsidP="005326C8">
            <w:pPr>
              <w:pStyle w:val="Header"/>
              <w:spacing w:before="60" w:after="60"/>
              <w:jc w:val="center"/>
              <w:rPr>
                <w:rFonts w:cs="Arial"/>
              </w:rPr>
            </w:pPr>
            <w:r w:rsidRPr="00092EEB">
              <w:rPr>
                <w:rFonts w:cs="Arial"/>
              </w:rPr>
              <w:t>Weldability</w:t>
            </w:r>
          </w:p>
        </w:tc>
        <w:tc>
          <w:tcPr>
            <w:tcW w:w="4683" w:type="dxa"/>
            <w:shd w:val="clear" w:color="auto" w:fill="auto"/>
            <w:vAlign w:val="center"/>
          </w:tcPr>
          <w:p w14:paraId="050BC6B2" w14:textId="77777777" w:rsidR="00FE2A3D" w:rsidRPr="00092EEB" w:rsidRDefault="00FE2A3D" w:rsidP="005326C8">
            <w:pPr>
              <w:pStyle w:val="Header"/>
              <w:spacing w:before="60" w:after="60"/>
              <w:ind w:left="34"/>
              <w:rPr>
                <w:rFonts w:cs="Arial"/>
              </w:rPr>
            </w:pPr>
            <w:r w:rsidRPr="00092EEB">
              <w:rPr>
                <w:rFonts w:cs="Arial"/>
              </w:rPr>
              <w:t>Carbon equivalent value specified in relevant standard</w:t>
            </w:r>
          </w:p>
        </w:tc>
        <w:tc>
          <w:tcPr>
            <w:tcW w:w="1134" w:type="dxa"/>
            <w:shd w:val="clear" w:color="auto" w:fill="auto"/>
            <w:vAlign w:val="center"/>
          </w:tcPr>
          <w:p w14:paraId="2FD26020" w14:textId="77777777" w:rsidR="00FE2A3D" w:rsidRPr="00092EEB" w:rsidRDefault="00FE2A3D" w:rsidP="005326C8">
            <w:pPr>
              <w:pStyle w:val="Header"/>
              <w:spacing w:before="60" w:after="60"/>
              <w:ind w:left="34"/>
              <w:jc w:val="center"/>
              <w:rPr>
                <w:rFonts w:cs="Arial"/>
              </w:rPr>
            </w:pPr>
            <w:r w:rsidRPr="00092EEB">
              <w:rPr>
                <w:rFonts w:cs="Arial"/>
              </w:rPr>
              <w:t>Y</w:t>
            </w:r>
          </w:p>
        </w:tc>
        <w:tc>
          <w:tcPr>
            <w:tcW w:w="1276" w:type="dxa"/>
            <w:shd w:val="clear" w:color="auto" w:fill="auto"/>
            <w:vAlign w:val="center"/>
          </w:tcPr>
          <w:p w14:paraId="34BE6DB6" w14:textId="77777777" w:rsidR="00FE2A3D" w:rsidRPr="00092EEB" w:rsidRDefault="00FE2A3D" w:rsidP="005326C8">
            <w:pPr>
              <w:pStyle w:val="Header"/>
              <w:spacing w:before="60" w:after="60"/>
              <w:jc w:val="center"/>
              <w:rPr>
                <w:rFonts w:cs="Arial"/>
              </w:rPr>
            </w:pPr>
            <w:r w:rsidRPr="00092EEB">
              <w:rPr>
                <w:rFonts w:cs="Arial"/>
              </w:rPr>
              <w:t>Optional</w:t>
            </w:r>
          </w:p>
        </w:tc>
        <w:tc>
          <w:tcPr>
            <w:tcW w:w="1145" w:type="dxa"/>
            <w:shd w:val="clear" w:color="auto" w:fill="auto"/>
            <w:vAlign w:val="center"/>
          </w:tcPr>
          <w:p w14:paraId="0883C0E7" w14:textId="77777777" w:rsidR="00FE2A3D" w:rsidRPr="00092EEB" w:rsidRDefault="00FE2A3D" w:rsidP="005326C8">
            <w:pPr>
              <w:pStyle w:val="Header"/>
              <w:spacing w:before="60" w:after="60"/>
              <w:jc w:val="center"/>
              <w:rPr>
                <w:rFonts w:cs="Arial"/>
              </w:rPr>
            </w:pPr>
            <w:r w:rsidRPr="00092EEB">
              <w:rPr>
                <w:rFonts w:cs="Arial"/>
              </w:rPr>
              <w:t>Optional</w:t>
            </w:r>
          </w:p>
        </w:tc>
      </w:tr>
    </w:tbl>
    <w:p w14:paraId="5A166CB3" w14:textId="77777777" w:rsidR="00FE2A3D" w:rsidRDefault="00FE2A3D" w:rsidP="00C01F98"/>
    <w:p w14:paraId="1A068240" w14:textId="77777777" w:rsidR="00603E09" w:rsidRDefault="00603E09" w:rsidP="00C01F98">
      <w:pPr>
        <w:rPr>
          <w:snapToGrid w:val="0"/>
        </w:rPr>
      </w:pPr>
    </w:p>
    <w:p w14:paraId="1A068241" w14:textId="07DB565A" w:rsidR="00891546" w:rsidRDefault="00400213" w:rsidP="006C4A3A">
      <w:pPr>
        <w:rPr>
          <w:lang w:eastAsia="en-AU"/>
        </w:rPr>
      </w:pPr>
      <w:r>
        <w:rPr>
          <w:lang w:eastAsia="en-AU"/>
        </w:rPr>
        <w:t xml:space="preserve">In constructing </w:t>
      </w:r>
      <w:r w:rsidR="00916495">
        <w:rPr>
          <w:lang w:eastAsia="en-AU"/>
        </w:rPr>
        <w:t>an</w:t>
      </w:r>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w:t>
      </w:r>
      <w:r w:rsidRPr="00FE2A3D">
        <w:rPr>
          <w:lang w:eastAsia="en-AU"/>
        </w:rPr>
        <w:t>example: [</w:t>
      </w:r>
      <w:r w:rsidR="00FE2A3D" w:rsidRPr="00FE2A3D">
        <w:rPr>
          <w:lang w:eastAsia="en-AU"/>
        </w:rPr>
        <w:t>P-I-A-A-1-S-Y</w:t>
      </w:r>
      <w:r w:rsidRPr="00FE2A3D">
        <w:rPr>
          <w:lang w:eastAsia="en-AU"/>
        </w:rPr>
        <w:t>]</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0445734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importation costs (</w:t>
      </w:r>
      <w:proofErr w:type="gramStart"/>
      <w:r w:rsidR="00C333F7">
        <w:rPr>
          <w:snapToGrid w:val="0"/>
        </w:rPr>
        <w:t>e.g.</w:t>
      </w:r>
      <w:proofErr w:type="gramEnd"/>
      <w:r w:rsidR="00C333F7">
        <w:rPr>
          <w:snapToGrid w:val="0"/>
        </w:rPr>
        <w:t xml:space="preserve">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FE2A3D">
        <w:t>and an estimation of the import volumes from each supplier of the goods over the period.</w:t>
      </w:r>
    </w:p>
    <w:p w14:paraId="1A068268" w14:textId="77777777" w:rsidR="005717B9" w:rsidRDefault="005717B9" w:rsidP="005717B9"/>
    <w:p w14:paraId="1A068269" w14:textId="71144795"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w:t>
      </w:r>
      <w:r w:rsidR="00FE2A3D">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0445734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 xml:space="preserve">fter receiving </w:t>
      </w:r>
      <w:proofErr w:type="gramStart"/>
      <w:r w:rsidRPr="00877C00">
        <w:t>Part</w:t>
      </w:r>
      <w:proofErr w:type="gramEnd"/>
      <w:r w:rsidRPr="00877C00">
        <w:t xml:space="preserve">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0445734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w:t>
      </w:r>
      <w:proofErr w:type="gramStart"/>
      <w:r w:rsidRPr="003735F5">
        <w:t>i</w:t>
      </w:r>
      <w:r>
        <w:t>.</w:t>
      </w:r>
      <w:r w:rsidRPr="003735F5">
        <w:t>e.</w:t>
      </w:r>
      <w:proofErr w:type="gramEnd"/>
      <w:r w:rsidRPr="003735F5">
        <w:t xml:space="preserv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3FCB779A" w:rsidR="00650FC5" w:rsidRPr="00F0217A" w:rsidRDefault="00650FC5" w:rsidP="00650FC5">
      <w:pPr>
        <w:pStyle w:val="ListParagraph"/>
        <w:numPr>
          <w:ilvl w:val="0"/>
          <w:numId w:val="21"/>
        </w:numPr>
      </w:pPr>
      <w:r>
        <w:t xml:space="preserve">This worksheet also requests order details where the sale can be directly linked to an </w:t>
      </w:r>
      <w:r w:rsidRPr="00F0217A">
        <w:t>importation.</w:t>
      </w:r>
    </w:p>
    <w:p w14:paraId="1A068289" w14:textId="22EF11F6" w:rsidR="00E905E6" w:rsidRPr="00F0217A" w:rsidRDefault="00E905E6" w:rsidP="00441EA0">
      <w:pPr>
        <w:pStyle w:val="ListParagraph"/>
        <w:numPr>
          <w:ilvl w:val="0"/>
          <w:numId w:val="21"/>
        </w:numPr>
        <w:rPr>
          <w:szCs w:val="24"/>
        </w:rPr>
      </w:pPr>
      <w:bookmarkStart w:id="48" w:name="_Hlk151397684"/>
      <w:r w:rsidRPr="00F0217A">
        <w:t xml:space="preserve">This worksheet must also include </w:t>
      </w:r>
      <w:r w:rsidR="007774AE" w:rsidRPr="00F0217A">
        <w:t>sales</w:t>
      </w:r>
      <w:r w:rsidRPr="00F0217A">
        <w:t xml:space="preserve"> of the goods that have been exempted from anti-dumping duties under 8(7) of the Customs Tariff (Anti-Dumping) Act 1975.</w:t>
      </w:r>
      <w:r w:rsidR="005C28F4" w:rsidRPr="008D4524">
        <w:rPr>
          <w:rStyle w:val="FootnoteReference"/>
          <w:iCs/>
          <w:szCs w:val="24"/>
        </w:rPr>
        <w:footnoteReference w:id="2"/>
      </w:r>
      <w:r w:rsidR="005C28F4" w:rsidRPr="008D4524">
        <w:rPr>
          <w:szCs w:val="24"/>
        </w:rPr>
        <w:t xml:space="preserve"> </w:t>
      </w:r>
      <w:r w:rsidRPr="00F0217A">
        <w:rPr>
          <w:szCs w:val="24"/>
        </w:rPr>
        <w:t xml:space="preserve"> </w:t>
      </w:r>
    </w:p>
    <w:bookmarkEnd w:id="48"/>
    <w:p w14:paraId="1A06828A" w14:textId="018D314C"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79C39B04"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Is your company part of a group (</w:t>
      </w:r>
      <w:proofErr w:type="gramStart"/>
      <w:r>
        <w:rPr>
          <w:snapToGrid w:val="0"/>
        </w:rPr>
        <w:t>e.g.</w:t>
      </w:r>
      <w:proofErr w:type="gramEnd"/>
      <w:r>
        <w:rPr>
          <w:snapToGrid w:val="0"/>
        </w:rPr>
        <w:t xml:space="preserve">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5326C8">
      <w:pPr>
        <w:pStyle w:val="ListParagraph"/>
        <w:keepNext/>
        <w:numPr>
          <w:ilvl w:val="0"/>
          <w:numId w:val="45"/>
        </w:numPr>
        <w:ind w:left="357" w:hanging="357"/>
      </w:pPr>
      <w:r>
        <w:lastRenderedPageBreak/>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5326C8">
      <w:pPr>
        <w:pStyle w:val="ListParagraph"/>
        <w:keepNext/>
        <w:numPr>
          <w:ilvl w:val="0"/>
          <w:numId w:val="45"/>
        </w:numPr>
        <w:ind w:left="357" w:hanging="357"/>
      </w:pPr>
      <w:r>
        <w:lastRenderedPageBreak/>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104457347"/>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w:t>
      </w:r>
      <w:proofErr w:type="gramStart"/>
      <w:r w:rsidR="00B93D19">
        <w:t>i.e.</w:t>
      </w:r>
      <w:proofErr w:type="gramEnd"/>
      <w:r w:rsidR="00B93D19">
        <w:t xml:space="preserv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w:t>
      </w:r>
      <w:proofErr w:type="gramStart"/>
      <w:r w:rsidRPr="001F538E">
        <w:t>i.e.</w:t>
      </w:r>
      <w:proofErr w:type="gramEnd"/>
      <w:r w:rsidRPr="001F538E">
        <w:t xml:space="preserv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11AA" w14:textId="77777777" w:rsidR="00884389" w:rsidRDefault="00884389">
      <w:r>
        <w:separator/>
      </w:r>
    </w:p>
    <w:p w14:paraId="12D6828C" w14:textId="77777777" w:rsidR="00884389" w:rsidRDefault="00884389"/>
  </w:endnote>
  <w:endnote w:type="continuationSeparator" w:id="0">
    <w:p w14:paraId="1F7E3B2A" w14:textId="77777777" w:rsidR="00884389" w:rsidRDefault="00884389">
      <w:r>
        <w:continuationSeparator/>
      </w:r>
    </w:p>
    <w:p w14:paraId="48B06BDC" w14:textId="77777777" w:rsidR="00884389" w:rsidRDefault="00884389"/>
  </w:endnote>
  <w:endnote w:type="continuationNotice" w:id="1">
    <w:p w14:paraId="6FC22A37" w14:textId="77777777" w:rsidR="00884389" w:rsidRDefault="00884389"/>
    <w:p w14:paraId="06DA6B35"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0B8B" w14:textId="77777777" w:rsidR="00884389" w:rsidRDefault="00884389">
      <w:r>
        <w:separator/>
      </w:r>
    </w:p>
    <w:p w14:paraId="7D189368" w14:textId="77777777" w:rsidR="00884389" w:rsidRDefault="00884389"/>
  </w:footnote>
  <w:footnote w:type="continuationSeparator" w:id="0">
    <w:p w14:paraId="3C2C053A" w14:textId="77777777" w:rsidR="00884389" w:rsidRDefault="00884389">
      <w:r>
        <w:continuationSeparator/>
      </w:r>
    </w:p>
    <w:p w14:paraId="7FD1681E" w14:textId="77777777" w:rsidR="00884389" w:rsidRDefault="00884389"/>
  </w:footnote>
  <w:footnote w:type="continuationNotice" w:id="1">
    <w:p w14:paraId="18BD2812" w14:textId="77777777" w:rsidR="00884389" w:rsidRDefault="00884389"/>
    <w:p w14:paraId="2BB70013" w14:textId="77777777" w:rsidR="00884389" w:rsidRDefault="00884389"/>
  </w:footnote>
  <w:footnote w:id="2">
    <w:p w14:paraId="6BAE0D06" w14:textId="77777777" w:rsidR="005C28F4" w:rsidRDefault="005C28F4" w:rsidP="005C28F4">
      <w:pPr>
        <w:pStyle w:val="FootnoteText"/>
      </w:pPr>
      <w:r>
        <w:rPr>
          <w:rStyle w:val="FootnoteReference"/>
        </w:rPr>
        <w:footnoteRef/>
      </w:r>
      <w:r>
        <w:t xml:space="preserve"> </w:t>
      </w:r>
      <w:r w:rsidRPr="000E3694">
        <w:t xml:space="preserve">Certain </w:t>
      </w:r>
      <w:r>
        <w:t xml:space="preserve">types of </w:t>
      </w:r>
      <w:r w:rsidRPr="000E3694">
        <w:t xml:space="preserve">HRS </w:t>
      </w:r>
      <w:r>
        <w:t xml:space="preserve">are </w:t>
      </w:r>
      <w:r w:rsidRPr="000E3694">
        <w:t>exempt from the measures (</w:t>
      </w:r>
      <w:hyperlink r:id="rId1" w:history="1">
        <w:r w:rsidRPr="000E3694">
          <w:rPr>
            <w:rStyle w:val="Hyperlink"/>
          </w:rPr>
          <w:t>ADN No 2019/153</w:t>
        </w:r>
      </w:hyperlink>
      <w:r w:rsidRPr="000E3694">
        <w:t>).</w:t>
      </w:r>
    </w:p>
  </w:footnote>
  <w:footnote w:id="3">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2"/>
  </w:num>
  <w:num w:numId="8" w16cid:durableId="1365403249">
    <w:abstractNumId w:val="56"/>
  </w:num>
  <w:num w:numId="9" w16cid:durableId="559750512">
    <w:abstractNumId w:val="11"/>
  </w:num>
  <w:num w:numId="10" w16cid:durableId="1882667723">
    <w:abstractNumId w:val="55"/>
  </w:num>
  <w:num w:numId="11" w16cid:durableId="1853714171">
    <w:abstractNumId w:val="22"/>
  </w:num>
  <w:num w:numId="12" w16cid:durableId="924263522">
    <w:abstractNumId w:val="42"/>
  </w:num>
  <w:num w:numId="13" w16cid:durableId="1915893510">
    <w:abstractNumId w:val="53"/>
  </w:num>
  <w:num w:numId="14" w16cid:durableId="736829994">
    <w:abstractNumId w:val="48"/>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4"/>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6"/>
  </w:num>
  <w:num w:numId="31" w16cid:durableId="925577331">
    <w:abstractNumId w:val="5"/>
  </w:num>
  <w:num w:numId="32" w16cid:durableId="2121878227">
    <w:abstractNumId w:val="41"/>
  </w:num>
  <w:num w:numId="33" w16cid:durableId="1851479920">
    <w:abstractNumId w:val="37"/>
  </w:num>
  <w:num w:numId="34" w16cid:durableId="1696617466">
    <w:abstractNumId w:val="49"/>
  </w:num>
  <w:num w:numId="35" w16cid:durableId="105975512">
    <w:abstractNumId w:val="24"/>
  </w:num>
  <w:num w:numId="36" w16cid:durableId="1430927097">
    <w:abstractNumId w:val="13"/>
  </w:num>
  <w:num w:numId="37" w16cid:durableId="699861828">
    <w:abstractNumId w:val="50"/>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7"/>
  </w:num>
  <w:num w:numId="44" w16cid:durableId="273634198">
    <w:abstractNumId w:val="57"/>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1"/>
  </w:num>
  <w:num w:numId="55" w16cid:durableId="1295912562">
    <w:abstractNumId w:val="4"/>
  </w:num>
  <w:num w:numId="56" w16cid:durableId="479081585">
    <w:abstractNumId w:val="33"/>
  </w:num>
  <w:num w:numId="57" w16cid:durableId="1164317323">
    <w:abstractNumId w:val="7"/>
  </w:num>
  <w:num w:numId="58" w16cid:durableId="451094123">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457A"/>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1383"/>
    <w:rsid w:val="000D2FD8"/>
    <w:rsid w:val="000D5213"/>
    <w:rsid w:val="000D75F3"/>
    <w:rsid w:val="000E0A2A"/>
    <w:rsid w:val="000E25B2"/>
    <w:rsid w:val="000F3039"/>
    <w:rsid w:val="0010121C"/>
    <w:rsid w:val="00105A1B"/>
    <w:rsid w:val="0010667C"/>
    <w:rsid w:val="0010D19C"/>
    <w:rsid w:val="0011699A"/>
    <w:rsid w:val="00120986"/>
    <w:rsid w:val="0012195D"/>
    <w:rsid w:val="0012258E"/>
    <w:rsid w:val="0012463D"/>
    <w:rsid w:val="00125B70"/>
    <w:rsid w:val="00126358"/>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1F407D"/>
    <w:rsid w:val="0020502F"/>
    <w:rsid w:val="0020769D"/>
    <w:rsid w:val="00215160"/>
    <w:rsid w:val="00216747"/>
    <w:rsid w:val="00216B09"/>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03E7"/>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03D"/>
    <w:rsid w:val="002A5687"/>
    <w:rsid w:val="002C0532"/>
    <w:rsid w:val="002D706F"/>
    <w:rsid w:val="002D70B0"/>
    <w:rsid w:val="002E141A"/>
    <w:rsid w:val="002E5132"/>
    <w:rsid w:val="002E74FA"/>
    <w:rsid w:val="002F4B72"/>
    <w:rsid w:val="003022BD"/>
    <w:rsid w:val="003046BA"/>
    <w:rsid w:val="00304BE9"/>
    <w:rsid w:val="0031505C"/>
    <w:rsid w:val="00317C21"/>
    <w:rsid w:val="00317D20"/>
    <w:rsid w:val="00320DED"/>
    <w:rsid w:val="003330C4"/>
    <w:rsid w:val="0033478A"/>
    <w:rsid w:val="003444A2"/>
    <w:rsid w:val="00345E94"/>
    <w:rsid w:val="00360FB1"/>
    <w:rsid w:val="00365FF6"/>
    <w:rsid w:val="00366385"/>
    <w:rsid w:val="00367E07"/>
    <w:rsid w:val="003726CC"/>
    <w:rsid w:val="003735F5"/>
    <w:rsid w:val="00382777"/>
    <w:rsid w:val="0038583B"/>
    <w:rsid w:val="00385E4B"/>
    <w:rsid w:val="00386500"/>
    <w:rsid w:val="00394C80"/>
    <w:rsid w:val="00397F45"/>
    <w:rsid w:val="003A4C88"/>
    <w:rsid w:val="003A70B2"/>
    <w:rsid w:val="003B0E82"/>
    <w:rsid w:val="003B17C3"/>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54B1"/>
    <w:rsid w:val="00426FF7"/>
    <w:rsid w:val="00436091"/>
    <w:rsid w:val="00437725"/>
    <w:rsid w:val="00437E5F"/>
    <w:rsid w:val="0044113C"/>
    <w:rsid w:val="00441162"/>
    <w:rsid w:val="00441EA0"/>
    <w:rsid w:val="00450616"/>
    <w:rsid w:val="004523B3"/>
    <w:rsid w:val="00453984"/>
    <w:rsid w:val="00454887"/>
    <w:rsid w:val="004601B1"/>
    <w:rsid w:val="00460B55"/>
    <w:rsid w:val="00462A83"/>
    <w:rsid w:val="00463D03"/>
    <w:rsid w:val="00464116"/>
    <w:rsid w:val="00465B31"/>
    <w:rsid w:val="00474F80"/>
    <w:rsid w:val="00475396"/>
    <w:rsid w:val="00477F85"/>
    <w:rsid w:val="00483E4F"/>
    <w:rsid w:val="004864EC"/>
    <w:rsid w:val="0048752E"/>
    <w:rsid w:val="004A3113"/>
    <w:rsid w:val="004B04A0"/>
    <w:rsid w:val="004B0AA8"/>
    <w:rsid w:val="004B1515"/>
    <w:rsid w:val="004B78AC"/>
    <w:rsid w:val="004C01F6"/>
    <w:rsid w:val="004C08B6"/>
    <w:rsid w:val="004C1FE5"/>
    <w:rsid w:val="004D68E3"/>
    <w:rsid w:val="004E0438"/>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0E58"/>
    <w:rsid w:val="00526BD6"/>
    <w:rsid w:val="005326C8"/>
    <w:rsid w:val="0053631A"/>
    <w:rsid w:val="00543487"/>
    <w:rsid w:val="00554A3A"/>
    <w:rsid w:val="00555D93"/>
    <w:rsid w:val="005619C3"/>
    <w:rsid w:val="00565BEA"/>
    <w:rsid w:val="005664FF"/>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17F0"/>
    <w:rsid w:val="005A5D1E"/>
    <w:rsid w:val="005B0234"/>
    <w:rsid w:val="005B0CC7"/>
    <w:rsid w:val="005B109F"/>
    <w:rsid w:val="005B3A07"/>
    <w:rsid w:val="005C28F4"/>
    <w:rsid w:val="005C5B3D"/>
    <w:rsid w:val="005D3961"/>
    <w:rsid w:val="005D42EE"/>
    <w:rsid w:val="005D4E27"/>
    <w:rsid w:val="005E0058"/>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55CB"/>
    <w:rsid w:val="00646099"/>
    <w:rsid w:val="00646993"/>
    <w:rsid w:val="006479EF"/>
    <w:rsid w:val="00650EDD"/>
    <w:rsid w:val="00650FC5"/>
    <w:rsid w:val="00653EAA"/>
    <w:rsid w:val="00660BF5"/>
    <w:rsid w:val="006614D2"/>
    <w:rsid w:val="00663F29"/>
    <w:rsid w:val="00676FEF"/>
    <w:rsid w:val="006778F5"/>
    <w:rsid w:val="0068068B"/>
    <w:rsid w:val="00682B35"/>
    <w:rsid w:val="00683E3B"/>
    <w:rsid w:val="00691080"/>
    <w:rsid w:val="00691870"/>
    <w:rsid w:val="00691E0A"/>
    <w:rsid w:val="0069494E"/>
    <w:rsid w:val="006A40B1"/>
    <w:rsid w:val="006A44DF"/>
    <w:rsid w:val="006A593A"/>
    <w:rsid w:val="006A6B8F"/>
    <w:rsid w:val="006B016C"/>
    <w:rsid w:val="006C0F17"/>
    <w:rsid w:val="006C156E"/>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143A"/>
    <w:rsid w:val="00836CDF"/>
    <w:rsid w:val="0084077B"/>
    <w:rsid w:val="00840E90"/>
    <w:rsid w:val="008427C9"/>
    <w:rsid w:val="008438E9"/>
    <w:rsid w:val="00843E1D"/>
    <w:rsid w:val="0084679C"/>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6495"/>
    <w:rsid w:val="00917165"/>
    <w:rsid w:val="00920A8A"/>
    <w:rsid w:val="00920BEE"/>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2D3F"/>
    <w:rsid w:val="00963131"/>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1C9E"/>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46D3D"/>
    <w:rsid w:val="00B60DFB"/>
    <w:rsid w:val="00B61189"/>
    <w:rsid w:val="00B6355A"/>
    <w:rsid w:val="00B64E36"/>
    <w:rsid w:val="00B6558E"/>
    <w:rsid w:val="00B67D88"/>
    <w:rsid w:val="00B71636"/>
    <w:rsid w:val="00B745D2"/>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71C2"/>
    <w:rsid w:val="00C24DB9"/>
    <w:rsid w:val="00C333F7"/>
    <w:rsid w:val="00C3506E"/>
    <w:rsid w:val="00C35657"/>
    <w:rsid w:val="00C36A6A"/>
    <w:rsid w:val="00C36F14"/>
    <w:rsid w:val="00C41243"/>
    <w:rsid w:val="00C42D52"/>
    <w:rsid w:val="00C44727"/>
    <w:rsid w:val="00C46A09"/>
    <w:rsid w:val="00C57154"/>
    <w:rsid w:val="00C602F3"/>
    <w:rsid w:val="00C61394"/>
    <w:rsid w:val="00C63312"/>
    <w:rsid w:val="00C70538"/>
    <w:rsid w:val="00C75261"/>
    <w:rsid w:val="00C758F7"/>
    <w:rsid w:val="00C75A36"/>
    <w:rsid w:val="00C77B3F"/>
    <w:rsid w:val="00C77E04"/>
    <w:rsid w:val="00C834F8"/>
    <w:rsid w:val="00C8521C"/>
    <w:rsid w:val="00C85604"/>
    <w:rsid w:val="00C91673"/>
    <w:rsid w:val="00C93B69"/>
    <w:rsid w:val="00C945E5"/>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08B4"/>
    <w:rsid w:val="00D5168C"/>
    <w:rsid w:val="00D516AF"/>
    <w:rsid w:val="00D53DC5"/>
    <w:rsid w:val="00D55AE7"/>
    <w:rsid w:val="00D61ED0"/>
    <w:rsid w:val="00D62CBF"/>
    <w:rsid w:val="00D62E32"/>
    <w:rsid w:val="00D64261"/>
    <w:rsid w:val="00D64296"/>
    <w:rsid w:val="00D66DE4"/>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DD0"/>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1D09"/>
    <w:rsid w:val="00E436C5"/>
    <w:rsid w:val="00E43BAA"/>
    <w:rsid w:val="00E45229"/>
    <w:rsid w:val="00E458CD"/>
    <w:rsid w:val="00E45BDA"/>
    <w:rsid w:val="00E51188"/>
    <w:rsid w:val="00E62880"/>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1765"/>
    <w:rsid w:val="00ED2D77"/>
    <w:rsid w:val="00EE0C51"/>
    <w:rsid w:val="00EE794D"/>
    <w:rsid w:val="00F0217A"/>
    <w:rsid w:val="00F022C6"/>
    <w:rsid w:val="00F06E72"/>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26D"/>
    <w:rsid w:val="00FA6961"/>
    <w:rsid w:val="00FB2AB0"/>
    <w:rsid w:val="00FB46C8"/>
    <w:rsid w:val="00FB4877"/>
    <w:rsid w:val="00FB50FA"/>
    <w:rsid w:val="00FC31F6"/>
    <w:rsid w:val="00FD1F89"/>
    <w:rsid w:val="00FD384C"/>
    <w:rsid w:val="00FD7FB7"/>
    <w:rsid w:val="00FE025A"/>
    <w:rsid w:val="00FE2A3D"/>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A06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customStyle="1" w:styleId="HeaderChar">
    <w:name w:val="Header Char"/>
    <w:basedOn w:val="DefaultParagraphFont"/>
    <w:link w:val="Header"/>
    <w:rsid w:val="00FE2A3D"/>
    <w:rPr>
      <w:rFonts w:ascii="Arial" w:hAnsi="Arial"/>
      <w:lang w:eastAsia="en-US"/>
    </w:rPr>
  </w:style>
  <w:style w:type="character" w:styleId="UnresolvedMention">
    <w:name w:val="Unresolved Mention"/>
    <w:basedOn w:val="DefaultParagraphFont"/>
    <w:uiPriority w:val="99"/>
    <w:semiHidden/>
    <w:unhideWhenUsed/>
    <w:rsid w:val="00F06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ex0077_-_005_-_notice_adn_-_adn_2019-153_findings_in_relation_to_an_exemption_inquir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30</Value>
      <Value>165</Value>
      <Value>42</Value>
      <Value>1757</Value>
      <Value>123</Value>
      <Value>3</Value>
      <Value>1685</Value>
      <Value>1380</Value>
      <Value>1378</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JAPAN</TermName>
          <TermId xmlns="http://schemas.microsoft.com/office/infopath/2007/PartnerControls">f959b8a7-f05e-4c6a-9136-6ca89a2974ab</TermId>
        </TermInfo>
        <TermInfo xmlns="http://schemas.microsoft.com/office/infopath/2007/PartnerControls">
          <TermName xmlns="http://schemas.microsoft.com/office/infopath/2007/PartnerControls">KOREA (REPUBLIC)</TermName>
          <TermId xmlns="http://schemas.microsoft.com/office/infopath/2007/PartnerControls">0b326276-96a9-4d9f-ba9c-063576bcc904</TermId>
        </TermInfo>
        <TermInfo xmlns="http://schemas.microsoft.com/office/infopath/2007/PartnerControls">
          <TermName xmlns="http://schemas.microsoft.com/office/infopath/2007/PartnerControls">TAIWAN</TermName>
          <TermId xmlns="http://schemas.microsoft.com/office/infopath/2007/PartnerControls">87137002-b979-40b1-8d78-b0d4fee10513</TermId>
        </TermInfo>
        <TermInfo xmlns="http://schemas.microsoft.com/office/infopath/2007/PartnerControls">
          <TermName xmlns="http://schemas.microsoft.com/office/infopath/2007/PartnerControls">THAILAND</TermName>
          <TermId xmlns="http://schemas.microsoft.com/office/infopath/2007/PartnerControls">d9fd5259-64aa-419d-894a-df2ffc20db0f</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8819ee52-648a-4625-a335-332d60616b95</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Hot Rolled Structural Steel Sections - Review - One Steel Manufacturing Pty Ltd_CF14DCBEEF0E4A6FB1DD65FA1AB950C4</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642</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Review of Measures</TermName>
          <TermId xmlns="http://schemas.microsoft.com/office/infopath/2007/PartnerControls">cce7e19b-b87e-4998-862e-0cf90918598f</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Hot Rolled Structural Steel</TermName>
          <TermId xmlns="http://schemas.microsoft.com/office/infopath/2007/PartnerControls">af22caf1-a9b1-4834-a10c-d03743561da3</TermId>
        </TermInfo>
      </Terms>
    </f06bc08df4f7480fae31bfc0219a480b>
    <ADCCRMCaseId xmlns="b48e3ffd-eb19-4da6-9c3a-2fe013753af6">CF14DCBE-EF0E-4A6F-B1DD-65FA1AB950C4</ADCCRMCase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1A923-0EB1-41E9-BF57-8DC310B0E628}">
  <ds:schemaRefs>
    <ds:schemaRef ds:uri="http://purl.org/dc/terms/"/>
    <ds:schemaRef ds:uri="9415f538-06e4-4333-8d32-bf09d7b0fc67"/>
    <ds:schemaRef ds:uri="http://www.w3.org/XML/1998/namespace"/>
    <ds:schemaRef ds:uri="http://purl.org/dc/dcmitype/"/>
    <ds:schemaRef ds:uri="http://schemas.microsoft.com/office/infopath/2007/PartnerControls"/>
    <ds:schemaRef ds:uri="http://schemas.microsoft.com/office/2006/documentManagement/types"/>
    <ds:schemaRef ds:uri="b48e3ffd-eb19-4da6-9c3a-2fe013753af6"/>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C35E003-E8F2-407F-B775-1DA4DD267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B8340E41-3EF5-40AB-86DC-0E14E06B0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3684</Words>
  <Characters>21002</Characters>
  <Application>Microsoft Office Word</Application>
  <DocSecurity>0</DocSecurity>
  <Lines>175</Lines>
  <Paragraphs>49</Paragraphs>
  <ScaleCrop>false</ScaleCrop>
  <Company/>
  <LinksUpToDate>false</LinksUpToDate>
  <CharactersWithSpaces>24637</CharactersWithSpaces>
  <SharedDoc>false</SharedDoc>
  <HLinks>
    <vt:vector size="72" baseType="variant">
      <vt:variant>
        <vt:i4>7405611</vt:i4>
      </vt:variant>
      <vt:variant>
        <vt:i4>57</vt:i4>
      </vt:variant>
      <vt:variant>
        <vt:i4>0</vt:i4>
      </vt:variant>
      <vt:variant>
        <vt:i4>5</vt:i4>
      </vt:variant>
      <vt:variant>
        <vt:lpwstr>https://www.legislation.gov.au/Details/F2015L01736</vt:lpwstr>
      </vt:variant>
      <vt:variant>
        <vt:lpwstr/>
      </vt:variant>
      <vt:variant>
        <vt:i4>1048627</vt:i4>
      </vt:variant>
      <vt:variant>
        <vt:i4>50</vt:i4>
      </vt:variant>
      <vt:variant>
        <vt:i4>0</vt:i4>
      </vt:variant>
      <vt:variant>
        <vt:i4>5</vt:i4>
      </vt:variant>
      <vt:variant>
        <vt:lpwstr/>
      </vt:variant>
      <vt:variant>
        <vt:lpwstr>_Toc104457347</vt:lpwstr>
      </vt:variant>
      <vt:variant>
        <vt:i4>1048627</vt:i4>
      </vt:variant>
      <vt:variant>
        <vt:i4>44</vt:i4>
      </vt:variant>
      <vt:variant>
        <vt:i4>0</vt:i4>
      </vt:variant>
      <vt:variant>
        <vt:i4>5</vt:i4>
      </vt:variant>
      <vt:variant>
        <vt:lpwstr/>
      </vt:variant>
      <vt:variant>
        <vt:lpwstr>_Toc104457346</vt:lpwstr>
      </vt:variant>
      <vt:variant>
        <vt:i4>1048627</vt:i4>
      </vt:variant>
      <vt:variant>
        <vt:i4>38</vt:i4>
      </vt:variant>
      <vt:variant>
        <vt:i4>0</vt:i4>
      </vt:variant>
      <vt:variant>
        <vt:i4>5</vt:i4>
      </vt:variant>
      <vt:variant>
        <vt:lpwstr/>
      </vt:variant>
      <vt:variant>
        <vt:lpwstr>_Toc104457345</vt:lpwstr>
      </vt:variant>
      <vt:variant>
        <vt:i4>1048627</vt:i4>
      </vt:variant>
      <vt:variant>
        <vt:i4>32</vt:i4>
      </vt:variant>
      <vt:variant>
        <vt:i4>0</vt:i4>
      </vt:variant>
      <vt:variant>
        <vt:i4>5</vt:i4>
      </vt:variant>
      <vt:variant>
        <vt:lpwstr/>
      </vt:variant>
      <vt:variant>
        <vt:lpwstr>_Toc104457344</vt:lpwstr>
      </vt:variant>
      <vt:variant>
        <vt:i4>1048627</vt:i4>
      </vt:variant>
      <vt:variant>
        <vt:i4>26</vt:i4>
      </vt:variant>
      <vt:variant>
        <vt:i4>0</vt:i4>
      </vt:variant>
      <vt:variant>
        <vt:i4>5</vt:i4>
      </vt:variant>
      <vt:variant>
        <vt:lpwstr/>
      </vt:variant>
      <vt:variant>
        <vt:lpwstr>_Toc104457343</vt:lpwstr>
      </vt:variant>
      <vt:variant>
        <vt:i4>1048627</vt:i4>
      </vt:variant>
      <vt:variant>
        <vt:i4>20</vt:i4>
      </vt:variant>
      <vt:variant>
        <vt:i4>0</vt:i4>
      </vt:variant>
      <vt:variant>
        <vt:i4>5</vt:i4>
      </vt:variant>
      <vt:variant>
        <vt:lpwstr/>
      </vt:variant>
      <vt:variant>
        <vt:lpwstr>_Toc104457342</vt:lpwstr>
      </vt:variant>
      <vt:variant>
        <vt:i4>1048627</vt:i4>
      </vt:variant>
      <vt:variant>
        <vt:i4>14</vt:i4>
      </vt:variant>
      <vt:variant>
        <vt:i4>0</vt:i4>
      </vt:variant>
      <vt:variant>
        <vt:i4>5</vt:i4>
      </vt:variant>
      <vt:variant>
        <vt:lpwstr/>
      </vt:variant>
      <vt:variant>
        <vt:lpwstr>_Toc104457341</vt:lpwstr>
      </vt:variant>
      <vt:variant>
        <vt:i4>1048627</vt:i4>
      </vt:variant>
      <vt:variant>
        <vt:i4>8</vt:i4>
      </vt:variant>
      <vt:variant>
        <vt:i4>0</vt:i4>
      </vt:variant>
      <vt:variant>
        <vt:i4>5</vt:i4>
      </vt:variant>
      <vt:variant>
        <vt:lpwstr/>
      </vt:variant>
      <vt:variant>
        <vt:lpwstr>_Toc104457340</vt:lpwstr>
      </vt:variant>
      <vt:variant>
        <vt:i4>2818098</vt:i4>
      </vt:variant>
      <vt:variant>
        <vt:i4>3</vt:i4>
      </vt:variant>
      <vt:variant>
        <vt:i4>0</vt:i4>
      </vt:variant>
      <vt:variant>
        <vt:i4>5</vt:i4>
      </vt:variant>
      <vt:variant>
        <vt:lpwstr>http://www.adcommission.gov.au/</vt:lpwstr>
      </vt:variant>
      <vt:variant>
        <vt:lpwstr/>
      </vt:variant>
      <vt:variant>
        <vt:i4>3342360</vt:i4>
      </vt:variant>
      <vt:variant>
        <vt:i4>0</vt:i4>
      </vt:variant>
      <vt:variant>
        <vt:i4>0</vt:i4>
      </vt:variant>
      <vt:variant>
        <vt:i4>5</vt:i4>
      </vt:variant>
      <vt:variant>
        <vt:lpwstr>mailto:investigations2@adcommission.gov.au</vt:lpwstr>
      </vt:variant>
      <vt:variant>
        <vt:lpwstr/>
      </vt:variant>
      <vt:variant>
        <vt:i4>8192085</vt:i4>
      </vt:variant>
      <vt:variant>
        <vt:i4>0</vt:i4>
      </vt:variant>
      <vt:variant>
        <vt:i4>0</vt:i4>
      </vt:variant>
      <vt:variant>
        <vt:i4>5</vt:i4>
      </vt:variant>
      <vt:variant>
        <vt:lpwstr>https://www.industry.gov.au/sites/default/files/adc/public-record/ex0077_-_005_-_notice_adn_-_adn_2019-153_findings_in_relation_to_an_exemption_inquiry.pdf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2024-04-02T22:23:00Z</dcterms:created>
  <dcterms:modified xsi:type="dcterms:W3CDTF">2024-04-02T22:23:00Z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0x01010092BAB2FE85ACC1428C8EF8FBAF332D8E</vt:lpwstr>
  </property>
  <property fmtid="{D5CDD505-2E9C-101B-9397-08002B2CF9AE}" pid="3" name="ADCGoods">
    <vt:lpwstr>1378;#Hot Rolled Structural Steel|af22caf1-a9b1-4834-a10c-d03743561da3</vt:lpwstr>
  </property>
  <property fmtid="{D5CDD505-2E9C-101B-9397-08002B2CF9AE}" pid="4" name="MediaServiceImageTags">
    <vt:lpwstr/>
  </property>
  <property fmtid="{D5CDD505-2E9C-101B-9397-08002B2CF9AE}" pid="5" name="ADCDivisionKeywords">
    <vt:lpwstr/>
  </property>
  <property fmtid="{D5CDD505-2E9C-101B-9397-08002B2CF9AE}" pid="6" name="ADCDocumentType">
    <vt:lpwstr>42;#Questionnaire|77396392-a370-441c-ad68-0ba6068a2990</vt:lpwstr>
  </property>
  <property fmtid="{D5CDD505-2E9C-101B-9397-08002B2CF9AE}" pid="7" name="ADCAttachment_x002f_Appendix">
    <vt:lpwstr/>
  </property>
  <property fmtid="{D5CDD505-2E9C-101B-9397-08002B2CF9AE}" pid="8" name="ADCEntityType">
    <vt:lpwstr/>
  </property>
  <property fmtid="{D5CDD505-2E9C-101B-9397-08002B2CF9AE}" pid="9" name="ADCFileType">
    <vt:lpwstr>1279;#docx|7235e733-68fd-45f7-bd8f-236be668aa4c</vt:lpwstr>
  </property>
  <property fmtid="{D5CDD505-2E9C-101B-9397-08002B2CF9AE}" pid="10" name="ADCWorkActivity">
    <vt:lpwstr/>
  </property>
  <property fmtid="{D5CDD505-2E9C-101B-9397-08002B2CF9AE}" pid="11" name="ADCYear">
    <vt:lpwstr>1757;#2024|8819ee52-648a-4625-a335-332d60616b95</vt:lpwstr>
  </property>
  <property fmtid="{D5CDD505-2E9C-101B-9397-08002B2CF9AE}" pid="12" name="ADCCaseType">
    <vt:lpwstr>1380;#Review of Measures|cce7e19b-b87e-4998-862e-0cf90918598f</vt:lpwstr>
  </property>
  <property fmtid="{D5CDD505-2E9C-101B-9397-08002B2CF9AE}" pid="13" name="ADCSub_x002d_documentType">
    <vt:lpwstr/>
  </property>
  <property fmtid="{D5CDD505-2E9C-101B-9397-08002B2CF9AE}" pid="14" name="ADCCountries">
    <vt:lpwstr>3;#JAPAN|f959b8a7-f05e-4c6a-9136-6ca89a2974ab;#1685;#KOREA (REPUBLIC)|0b326276-96a9-4d9f-ba9c-063576bcc904;#165;#TAIWAN|87137002-b979-40b1-8d78-b0d4fee10513;#123;#THAILAND|d9fd5259-64aa-419d-894a-df2ffc20db0f</vt:lpwstr>
  </property>
  <property fmtid="{D5CDD505-2E9C-101B-9397-08002B2CF9AE}" pid="15" name="ADCSecurityClassification">
    <vt:lpwstr>30;#OFFICIAL:Sensitive|028d2a82-9ad8-4680-8be0-bc23c353d676</vt:lpwstr>
  </property>
  <property fmtid="{D5CDD505-2E9C-101B-9397-08002B2CF9AE}" pid="16" name="ADCEntity">
    <vt:lpwstr/>
  </property>
  <property fmtid="{D5CDD505-2E9C-101B-9397-08002B2CF9AE}" pid="17" name="ADCReportType">
    <vt:lpwstr/>
  </property>
  <property fmtid="{D5CDD505-2E9C-101B-9397-08002B2CF9AE}" pid="18" name="ADCSub-documentType">
    <vt:lpwstr/>
  </property>
  <property fmtid="{D5CDD505-2E9C-101B-9397-08002B2CF9AE}" pid="19" name="ADCAttachment/Appendix">
    <vt:lpwstr/>
  </property>
</Properties>
</file>