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1A0681AB" w14:textId="282F2D9E" w:rsidR="00317C21" w:rsidRPr="00645504" w:rsidRDefault="00317C21">
      <w:pPr>
        <w:widowControl w:val="0"/>
        <w:rPr>
          <w:snapToGrid w:val="0"/>
          <w:sz w:val="28"/>
        </w:rPr>
      </w:pPr>
      <w:r w:rsidRPr="00645504">
        <w:rPr>
          <w:b/>
          <w:snapToGrid w:val="0"/>
          <w:sz w:val="28"/>
        </w:rPr>
        <w:t xml:space="preserve">Case number: </w:t>
      </w:r>
      <w:r w:rsidR="00711A84" w:rsidRPr="00645504">
        <w:rPr>
          <w:snapToGrid w:val="0"/>
          <w:sz w:val="28"/>
        </w:rPr>
        <w:t>660</w:t>
      </w:r>
    </w:p>
    <w:p w14:paraId="1A0681AC" w14:textId="77777777" w:rsidR="00317C21" w:rsidRPr="00645504" w:rsidRDefault="00317C21">
      <w:pPr>
        <w:widowControl w:val="0"/>
      </w:pPr>
    </w:p>
    <w:p w14:paraId="1A0681AD" w14:textId="77777777" w:rsidR="00317C21" w:rsidRPr="00645504" w:rsidRDefault="00317C21">
      <w:pPr>
        <w:widowControl w:val="0"/>
      </w:pPr>
    </w:p>
    <w:p w14:paraId="1A0681AE" w14:textId="71A0F9AD" w:rsidR="00515B70" w:rsidRPr="00645504" w:rsidRDefault="00515B70">
      <w:pPr>
        <w:widowControl w:val="0"/>
        <w:rPr>
          <w:snapToGrid w:val="0"/>
          <w:sz w:val="28"/>
        </w:rPr>
      </w:pPr>
      <w:r w:rsidRPr="00645504">
        <w:rPr>
          <w:b/>
          <w:snapToGrid w:val="0"/>
          <w:sz w:val="28"/>
        </w:rPr>
        <w:t xml:space="preserve">Product: </w:t>
      </w:r>
      <w:r w:rsidR="00711A84" w:rsidRPr="00645504">
        <w:rPr>
          <w:snapToGrid w:val="0"/>
          <w:sz w:val="28"/>
        </w:rPr>
        <w:t>Steel Reinforcing Bar</w:t>
      </w:r>
    </w:p>
    <w:p w14:paraId="1A0681AF" w14:textId="5AFEAE7C" w:rsidR="00515B70" w:rsidRPr="00645504" w:rsidRDefault="00515B70">
      <w:pPr>
        <w:widowControl w:val="0"/>
        <w:rPr>
          <w:snapToGrid w:val="0"/>
        </w:rPr>
      </w:pPr>
    </w:p>
    <w:p w14:paraId="1A0681B0" w14:textId="77777777" w:rsidR="00317C21" w:rsidRPr="00645504" w:rsidRDefault="00317C21">
      <w:pPr>
        <w:widowControl w:val="0"/>
        <w:rPr>
          <w:snapToGrid w:val="0"/>
        </w:rPr>
      </w:pPr>
    </w:p>
    <w:p w14:paraId="1A0681B1" w14:textId="3A6E11EE" w:rsidR="00515B70" w:rsidRPr="00645504" w:rsidRDefault="00515B70">
      <w:pPr>
        <w:widowControl w:val="0"/>
        <w:rPr>
          <w:snapToGrid w:val="0"/>
        </w:rPr>
      </w:pPr>
      <w:r w:rsidRPr="00645504">
        <w:rPr>
          <w:b/>
          <w:snapToGrid w:val="0"/>
          <w:sz w:val="28"/>
        </w:rPr>
        <w:t>From:</w:t>
      </w:r>
      <w:r w:rsidRPr="00645504">
        <w:rPr>
          <w:snapToGrid w:val="0"/>
          <w:sz w:val="28"/>
        </w:rPr>
        <w:t xml:space="preserve"> </w:t>
      </w:r>
      <w:r w:rsidR="00331CCC" w:rsidRPr="00645504">
        <w:rPr>
          <w:snapToGrid w:val="0"/>
          <w:sz w:val="28"/>
        </w:rPr>
        <w:t>Republic of Korea</w:t>
      </w:r>
      <w:r w:rsidR="00311975">
        <w:rPr>
          <w:snapToGrid w:val="0"/>
          <w:sz w:val="28"/>
        </w:rPr>
        <w:t xml:space="preserve"> and</w:t>
      </w:r>
      <w:r w:rsidR="00331CCC" w:rsidRPr="00645504">
        <w:rPr>
          <w:snapToGrid w:val="0"/>
          <w:sz w:val="28"/>
        </w:rPr>
        <w:t xml:space="preserve"> Kingdom of Spain</w:t>
      </w:r>
    </w:p>
    <w:p w14:paraId="1A0681B2" w14:textId="60C20C53" w:rsidR="00515B70" w:rsidRPr="00645504" w:rsidRDefault="00515B70">
      <w:pPr>
        <w:widowControl w:val="0"/>
        <w:rPr>
          <w:snapToGrid w:val="0"/>
        </w:rPr>
      </w:pPr>
    </w:p>
    <w:p w14:paraId="1A0681B3" w14:textId="0CCFA875" w:rsidR="00317C21" w:rsidRPr="00645504" w:rsidRDefault="00317C21">
      <w:pPr>
        <w:widowControl w:val="0"/>
        <w:rPr>
          <w:snapToGrid w:val="0"/>
        </w:rPr>
      </w:pPr>
    </w:p>
    <w:p w14:paraId="1A0681B4" w14:textId="4B508C5F" w:rsidR="00515B70" w:rsidRPr="0091494E" w:rsidRDefault="00317C21">
      <w:pPr>
        <w:widowControl w:val="0"/>
        <w:rPr>
          <w:snapToGrid w:val="0"/>
          <w:sz w:val="28"/>
        </w:rPr>
      </w:pPr>
      <w:r w:rsidRPr="00645504">
        <w:rPr>
          <w:b/>
          <w:snapToGrid w:val="0"/>
          <w:sz w:val="28"/>
        </w:rPr>
        <w:t>Inquiry period</w:t>
      </w:r>
      <w:r w:rsidR="00515B70" w:rsidRPr="00645504">
        <w:rPr>
          <w:b/>
          <w:snapToGrid w:val="0"/>
          <w:sz w:val="28"/>
        </w:rPr>
        <w:t xml:space="preserve">: </w:t>
      </w:r>
      <w:r w:rsidR="00594C26" w:rsidRPr="00645504">
        <w:rPr>
          <w:snapToGrid w:val="0"/>
          <w:sz w:val="28"/>
        </w:rPr>
        <w:t>1 October 2023 – 30 September 2024</w:t>
      </w:r>
      <w:r w:rsidR="00DF4FA8" w:rsidRPr="00645504">
        <w:rPr>
          <w:snapToGrid w:val="0"/>
          <w:sz w:val="28"/>
        </w:rPr>
        <w:t xml:space="preserve"> (the period</w:t>
      </w:r>
      <w:r w:rsidR="00DF4FA8" w:rsidRPr="00DF4FA8">
        <w:rPr>
          <w:snapToGrid w:val="0"/>
          <w:sz w:val="28"/>
        </w:rPr>
        <w:t>)</w:t>
      </w:r>
    </w:p>
    <w:p w14:paraId="1A0681B5" w14:textId="4530EB1E" w:rsidR="00515B70" w:rsidRDefault="00515B70">
      <w:pPr>
        <w:widowControl w:val="0"/>
        <w:rPr>
          <w:snapToGrid w:val="0"/>
        </w:rPr>
      </w:pPr>
    </w:p>
    <w:p w14:paraId="1A0681B6" w14:textId="0CD807A2"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F7E9F6C" w:rsidR="00884389" w:rsidRDefault="00884389" w:rsidP="00884389">
            <w:pPr>
              <w:widowControl w:val="0"/>
              <w:rPr>
                <w:b/>
                <w:snapToGrid w:val="0"/>
                <w:sz w:val="28"/>
              </w:rPr>
            </w:pPr>
            <w:r>
              <w:rPr>
                <w:b/>
                <w:snapToGrid w:val="0"/>
                <w:sz w:val="28"/>
              </w:rPr>
              <w:t>Response due by</w:t>
            </w:r>
            <w:r w:rsidR="00B94ECF">
              <w:rPr>
                <w:b/>
                <w:snapToGrid w:val="0"/>
                <w:sz w:val="28"/>
              </w:rPr>
              <w:t xml:space="preserve"> </w:t>
            </w:r>
          </w:p>
        </w:tc>
      </w:tr>
      <w:tr w:rsidR="00884389" w14:paraId="1A0681BC" w14:textId="77777777" w:rsidTr="00884389">
        <w:trPr>
          <w:trHeight w:val="567"/>
        </w:trPr>
        <w:tc>
          <w:tcPr>
            <w:tcW w:w="1980" w:type="dxa"/>
            <w:vAlign w:val="center"/>
          </w:tcPr>
          <w:p w14:paraId="1A0681BA" w14:textId="77777777" w:rsidR="00884389" w:rsidRPr="00884389" w:rsidRDefault="00884389" w:rsidP="00884389">
            <w:pPr>
              <w:widowControl w:val="0"/>
              <w:rPr>
                <w:snapToGrid w:val="0"/>
                <w:sz w:val="28"/>
              </w:rPr>
            </w:pPr>
            <w:r>
              <w:rPr>
                <w:snapToGrid w:val="0"/>
                <w:sz w:val="28"/>
              </w:rPr>
              <w:t>A</w:t>
            </w:r>
          </w:p>
        </w:tc>
        <w:tc>
          <w:tcPr>
            <w:tcW w:w="7037" w:type="dxa"/>
            <w:vAlign w:val="center"/>
          </w:tcPr>
          <w:p w14:paraId="1A0681BB" w14:textId="19229482" w:rsidR="00884389" w:rsidRPr="00E36D21" w:rsidRDefault="00B076EC" w:rsidP="00884389">
            <w:pPr>
              <w:widowControl w:val="0"/>
              <w:rPr>
                <w:snapToGrid w:val="0"/>
                <w:sz w:val="28"/>
              </w:rPr>
            </w:pPr>
            <w:r w:rsidRPr="00E36D21">
              <w:rPr>
                <w:snapToGrid w:val="0"/>
                <w:sz w:val="28"/>
              </w:rPr>
              <w:t>16 December 2024</w:t>
            </w:r>
          </w:p>
        </w:tc>
      </w:tr>
      <w:tr w:rsidR="00884389" w14:paraId="1A0681BF" w14:textId="77777777" w:rsidTr="00884389">
        <w:trPr>
          <w:trHeight w:val="567"/>
        </w:trPr>
        <w:tc>
          <w:tcPr>
            <w:tcW w:w="1980" w:type="dxa"/>
            <w:vAlign w:val="center"/>
          </w:tcPr>
          <w:p w14:paraId="1A0681BD" w14:textId="77777777" w:rsidR="00884389" w:rsidRPr="00884389" w:rsidRDefault="00884389" w:rsidP="00884389">
            <w:pPr>
              <w:widowControl w:val="0"/>
              <w:rPr>
                <w:snapToGrid w:val="0"/>
                <w:sz w:val="28"/>
              </w:rPr>
            </w:pPr>
            <w:r>
              <w:rPr>
                <w:snapToGrid w:val="0"/>
                <w:sz w:val="28"/>
              </w:rPr>
              <w:t>B &amp; C</w:t>
            </w:r>
          </w:p>
        </w:tc>
        <w:tc>
          <w:tcPr>
            <w:tcW w:w="7037" w:type="dxa"/>
            <w:vAlign w:val="center"/>
          </w:tcPr>
          <w:p w14:paraId="1A0681BE" w14:textId="1E4EF12E" w:rsidR="00884389" w:rsidRPr="00E36D21" w:rsidRDefault="00E36D21" w:rsidP="00884389">
            <w:pPr>
              <w:widowControl w:val="0"/>
              <w:rPr>
                <w:snapToGrid w:val="0"/>
                <w:sz w:val="28"/>
              </w:rPr>
            </w:pPr>
            <w:r w:rsidRPr="00E36D21">
              <w:rPr>
                <w:snapToGrid w:val="0"/>
                <w:sz w:val="28"/>
              </w:rPr>
              <w:t>23 January 2025</w:t>
            </w:r>
          </w:p>
        </w:tc>
      </w:tr>
      <w:tr w:rsidR="00884389" w14:paraId="1A0681C2" w14:textId="77777777" w:rsidTr="00884389">
        <w:trPr>
          <w:trHeight w:val="567"/>
        </w:trPr>
        <w:tc>
          <w:tcPr>
            <w:tcW w:w="1980" w:type="dxa"/>
            <w:vAlign w:val="center"/>
          </w:tcPr>
          <w:p w14:paraId="1A0681C0" w14:textId="77777777" w:rsidR="00884389" w:rsidRPr="00884389" w:rsidRDefault="00884389" w:rsidP="00884389">
            <w:pPr>
              <w:widowControl w:val="0"/>
              <w:rPr>
                <w:snapToGrid w:val="0"/>
                <w:sz w:val="28"/>
              </w:rPr>
            </w:pPr>
            <w:r>
              <w:rPr>
                <w:snapToGrid w:val="0"/>
                <w:sz w:val="28"/>
              </w:rPr>
              <w:t>D &amp; E</w:t>
            </w:r>
          </w:p>
        </w:tc>
        <w:tc>
          <w:tcPr>
            <w:tcW w:w="7037" w:type="dxa"/>
            <w:vAlign w:val="center"/>
          </w:tcPr>
          <w:p w14:paraId="1A0681C1" w14:textId="7315D647" w:rsidR="00884389" w:rsidRPr="00E36D21" w:rsidRDefault="00E36D21" w:rsidP="00884389">
            <w:pPr>
              <w:widowControl w:val="0"/>
              <w:rPr>
                <w:snapToGrid w:val="0"/>
                <w:sz w:val="28"/>
              </w:rPr>
            </w:pPr>
            <w:r w:rsidRPr="00E36D21">
              <w:rPr>
                <w:snapToGrid w:val="0"/>
                <w:sz w:val="28"/>
              </w:rPr>
              <w:t>23 January 2025</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5" w14:textId="5525C4C8" w:rsidR="00317C21" w:rsidRDefault="009B1B23" w:rsidP="00317C21">
      <w:pPr>
        <w:widowControl w:val="0"/>
        <w:rPr>
          <w:snapToGrid w:val="0"/>
          <w:sz w:val="28"/>
        </w:rPr>
      </w:pPr>
      <w:r>
        <w:rPr>
          <w:b/>
          <w:snapToGrid w:val="0"/>
          <w:sz w:val="28"/>
        </w:rPr>
        <w:t xml:space="preserve">Email </w:t>
      </w:r>
      <w:r w:rsidR="00FE025A">
        <w:rPr>
          <w:b/>
          <w:snapToGrid w:val="0"/>
          <w:sz w:val="28"/>
        </w:rPr>
        <w:t>response</w:t>
      </w:r>
      <w:r>
        <w:rPr>
          <w:b/>
          <w:snapToGrid w:val="0"/>
          <w:sz w:val="28"/>
        </w:rPr>
        <w:t xml:space="preserve"> to</w:t>
      </w:r>
      <w:r w:rsidR="00317C21">
        <w:rPr>
          <w:b/>
          <w:snapToGrid w:val="0"/>
          <w:sz w:val="28"/>
        </w:rPr>
        <w:t>:</w:t>
      </w:r>
      <w:r w:rsidR="00317C21" w:rsidRPr="00317C21">
        <w:rPr>
          <w:snapToGrid w:val="0"/>
          <w:color w:val="FF0000"/>
          <w:sz w:val="28"/>
        </w:rPr>
        <w:t xml:space="preserve"> </w:t>
      </w:r>
      <w:hyperlink r:id="rId11" w:history="1">
        <w:r w:rsidR="00854DA0" w:rsidRPr="00D4033E">
          <w:rPr>
            <w:rStyle w:val="Hyperlink"/>
            <w:snapToGrid w:val="0"/>
            <w:sz w:val="28"/>
          </w:rPr>
          <w:t>investigations@adcommission.gov.au</w:t>
        </w:r>
      </w:hyperlink>
    </w:p>
    <w:p w14:paraId="1A0681C6" w14:textId="77777777" w:rsidR="00317C21" w:rsidRPr="00C06EDB" w:rsidRDefault="00317C21" w:rsidP="00317C21">
      <w:pPr>
        <w:widowControl w:val="0"/>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1A0681C9"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104457340"/>
      <w:r>
        <w:lastRenderedPageBreak/>
        <w:t>Table of contents</w:t>
      </w:r>
      <w:bookmarkEnd w:id="0"/>
      <w:bookmarkEnd w:id="1"/>
      <w:bookmarkEnd w:id="2"/>
      <w:bookmarkEnd w:id="3"/>
      <w:bookmarkEnd w:id="4"/>
    </w:p>
    <w:p w14:paraId="6E5B2C43" w14:textId="77777777" w:rsidR="009D4791"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04457340" w:history="1">
        <w:r w:rsidR="009D4791" w:rsidRPr="008553F6">
          <w:rPr>
            <w:rStyle w:val="Hyperlink"/>
            <w:noProof/>
          </w:rPr>
          <w:t>Table of contents</w:t>
        </w:r>
        <w:r w:rsidR="009D4791">
          <w:rPr>
            <w:noProof/>
            <w:webHidden/>
          </w:rPr>
          <w:tab/>
        </w:r>
        <w:r w:rsidR="009D4791">
          <w:rPr>
            <w:noProof/>
            <w:webHidden/>
          </w:rPr>
          <w:fldChar w:fldCharType="begin"/>
        </w:r>
        <w:r w:rsidR="009D4791">
          <w:rPr>
            <w:noProof/>
            <w:webHidden/>
          </w:rPr>
          <w:instrText xml:space="preserve"> PAGEREF _Toc104457340 \h </w:instrText>
        </w:r>
        <w:r w:rsidR="009D4791">
          <w:rPr>
            <w:noProof/>
            <w:webHidden/>
          </w:rPr>
        </w:r>
        <w:r w:rsidR="009D4791">
          <w:rPr>
            <w:noProof/>
            <w:webHidden/>
          </w:rPr>
          <w:fldChar w:fldCharType="separate"/>
        </w:r>
        <w:r w:rsidR="009D4791">
          <w:rPr>
            <w:noProof/>
            <w:webHidden/>
          </w:rPr>
          <w:t>2</w:t>
        </w:r>
        <w:r w:rsidR="009D4791">
          <w:rPr>
            <w:noProof/>
            <w:webHidden/>
          </w:rPr>
          <w:fldChar w:fldCharType="end"/>
        </w:r>
      </w:hyperlink>
    </w:p>
    <w:p w14:paraId="3ABDFA54" w14:textId="77777777" w:rsidR="009D4791" w:rsidRDefault="0000000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1" w:history="1">
        <w:r w:rsidR="009D4791" w:rsidRPr="008553F6">
          <w:rPr>
            <w:rStyle w:val="Hyperlink"/>
            <w:noProof/>
          </w:rPr>
          <w:t>Instructions</w:t>
        </w:r>
        <w:r w:rsidR="009D4791">
          <w:rPr>
            <w:noProof/>
            <w:webHidden/>
          </w:rPr>
          <w:tab/>
        </w:r>
        <w:r w:rsidR="009D4791">
          <w:rPr>
            <w:noProof/>
            <w:webHidden/>
          </w:rPr>
          <w:fldChar w:fldCharType="begin"/>
        </w:r>
        <w:r w:rsidR="009D4791">
          <w:rPr>
            <w:noProof/>
            <w:webHidden/>
          </w:rPr>
          <w:instrText xml:space="preserve"> PAGEREF _Toc104457341 \h </w:instrText>
        </w:r>
        <w:r w:rsidR="009D4791">
          <w:rPr>
            <w:noProof/>
            <w:webHidden/>
          </w:rPr>
        </w:r>
        <w:r w:rsidR="009D4791">
          <w:rPr>
            <w:noProof/>
            <w:webHidden/>
          </w:rPr>
          <w:fldChar w:fldCharType="separate"/>
        </w:r>
        <w:r w:rsidR="009D4791">
          <w:rPr>
            <w:noProof/>
            <w:webHidden/>
          </w:rPr>
          <w:t>3</w:t>
        </w:r>
        <w:r w:rsidR="009D4791">
          <w:rPr>
            <w:noProof/>
            <w:webHidden/>
          </w:rPr>
          <w:fldChar w:fldCharType="end"/>
        </w:r>
      </w:hyperlink>
    </w:p>
    <w:p w14:paraId="25394940" w14:textId="77777777" w:rsidR="009D4791" w:rsidRDefault="0000000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2" w:history="1">
        <w:r w:rsidR="009D4791" w:rsidRPr="008553F6">
          <w:rPr>
            <w:rStyle w:val="Hyperlink"/>
            <w:noProof/>
          </w:rPr>
          <w:t>Goods under consideration / Goods subject to Anti-dumping measures</w:t>
        </w:r>
        <w:r w:rsidR="009D4791">
          <w:rPr>
            <w:noProof/>
            <w:webHidden/>
          </w:rPr>
          <w:tab/>
        </w:r>
        <w:r w:rsidR="009D4791">
          <w:rPr>
            <w:noProof/>
            <w:webHidden/>
          </w:rPr>
          <w:fldChar w:fldCharType="begin"/>
        </w:r>
        <w:r w:rsidR="009D4791">
          <w:rPr>
            <w:noProof/>
            <w:webHidden/>
          </w:rPr>
          <w:instrText xml:space="preserve"> PAGEREF _Toc104457342 \h </w:instrText>
        </w:r>
        <w:r w:rsidR="009D4791">
          <w:rPr>
            <w:noProof/>
            <w:webHidden/>
          </w:rPr>
        </w:r>
        <w:r w:rsidR="009D4791">
          <w:rPr>
            <w:noProof/>
            <w:webHidden/>
          </w:rPr>
          <w:fldChar w:fldCharType="separate"/>
        </w:r>
        <w:r w:rsidR="009D4791">
          <w:rPr>
            <w:noProof/>
            <w:webHidden/>
          </w:rPr>
          <w:t>5</w:t>
        </w:r>
        <w:r w:rsidR="009D4791">
          <w:rPr>
            <w:noProof/>
            <w:webHidden/>
          </w:rPr>
          <w:fldChar w:fldCharType="end"/>
        </w:r>
      </w:hyperlink>
    </w:p>
    <w:p w14:paraId="21BBE2D6" w14:textId="77777777" w:rsidR="009D4791" w:rsidRDefault="0000000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3" w:history="1">
        <w:r w:rsidR="009D4791" w:rsidRPr="008553F6">
          <w:rPr>
            <w:rStyle w:val="Hyperlink"/>
            <w:noProof/>
          </w:rPr>
          <w:t>Section A Company and supplier information</w:t>
        </w:r>
        <w:r w:rsidR="009D4791">
          <w:rPr>
            <w:noProof/>
            <w:webHidden/>
          </w:rPr>
          <w:tab/>
        </w:r>
        <w:r w:rsidR="009D4791">
          <w:rPr>
            <w:noProof/>
            <w:webHidden/>
          </w:rPr>
          <w:fldChar w:fldCharType="begin"/>
        </w:r>
        <w:r w:rsidR="009D4791">
          <w:rPr>
            <w:noProof/>
            <w:webHidden/>
          </w:rPr>
          <w:instrText xml:space="preserve"> PAGEREF _Toc104457343 \h </w:instrText>
        </w:r>
        <w:r w:rsidR="009D4791">
          <w:rPr>
            <w:noProof/>
            <w:webHidden/>
          </w:rPr>
        </w:r>
        <w:r w:rsidR="009D4791">
          <w:rPr>
            <w:noProof/>
            <w:webHidden/>
          </w:rPr>
          <w:fldChar w:fldCharType="separate"/>
        </w:r>
        <w:r w:rsidR="009D4791">
          <w:rPr>
            <w:noProof/>
            <w:webHidden/>
          </w:rPr>
          <w:t>6</w:t>
        </w:r>
        <w:r w:rsidR="009D4791">
          <w:rPr>
            <w:noProof/>
            <w:webHidden/>
          </w:rPr>
          <w:fldChar w:fldCharType="end"/>
        </w:r>
      </w:hyperlink>
    </w:p>
    <w:p w14:paraId="3FF9E344" w14:textId="77777777" w:rsidR="009D4791" w:rsidRDefault="0000000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4" w:history="1">
        <w:r w:rsidR="009D4791" w:rsidRPr="008553F6">
          <w:rPr>
            <w:rStyle w:val="Hyperlink"/>
            <w:noProof/>
          </w:rPr>
          <w:t>Section B Imports &amp; forward orders</w:t>
        </w:r>
        <w:r w:rsidR="009D4791">
          <w:rPr>
            <w:noProof/>
            <w:webHidden/>
          </w:rPr>
          <w:tab/>
        </w:r>
        <w:r w:rsidR="009D4791">
          <w:rPr>
            <w:noProof/>
            <w:webHidden/>
          </w:rPr>
          <w:fldChar w:fldCharType="begin"/>
        </w:r>
        <w:r w:rsidR="009D4791">
          <w:rPr>
            <w:noProof/>
            <w:webHidden/>
          </w:rPr>
          <w:instrText xml:space="preserve"> PAGEREF _Toc104457344 \h </w:instrText>
        </w:r>
        <w:r w:rsidR="009D4791">
          <w:rPr>
            <w:noProof/>
            <w:webHidden/>
          </w:rPr>
        </w:r>
        <w:r w:rsidR="009D4791">
          <w:rPr>
            <w:noProof/>
            <w:webHidden/>
          </w:rPr>
          <w:fldChar w:fldCharType="separate"/>
        </w:r>
        <w:r w:rsidR="009D4791">
          <w:rPr>
            <w:noProof/>
            <w:webHidden/>
          </w:rPr>
          <w:t>7</w:t>
        </w:r>
        <w:r w:rsidR="009D4791">
          <w:rPr>
            <w:noProof/>
            <w:webHidden/>
          </w:rPr>
          <w:fldChar w:fldCharType="end"/>
        </w:r>
      </w:hyperlink>
    </w:p>
    <w:p w14:paraId="70907208" w14:textId="77777777" w:rsidR="009D4791" w:rsidRDefault="0000000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5" w:history="1">
        <w:r w:rsidR="009D4791" w:rsidRPr="008553F6">
          <w:rPr>
            <w:rStyle w:val="Hyperlink"/>
            <w:noProof/>
          </w:rPr>
          <w:t>Section C Sales and SG&amp;A</w:t>
        </w:r>
        <w:r w:rsidR="009D4791">
          <w:rPr>
            <w:noProof/>
            <w:webHidden/>
          </w:rPr>
          <w:tab/>
        </w:r>
        <w:r w:rsidR="009D4791">
          <w:rPr>
            <w:noProof/>
            <w:webHidden/>
          </w:rPr>
          <w:fldChar w:fldCharType="begin"/>
        </w:r>
        <w:r w:rsidR="009D4791">
          <w:rPr>
            <w:noProof/>
            <w:webHidden/>
          </w:rPr>
          <w:instrText xml:space="preserve"> PAGEREF _Toc104457345 \h </w:instrText>
        </w:r>
        <w:r w:rsidR="009D4791">
          <w:rPr>
            <w:noProof/>
            <w:webHidden/>
          </w:rPr>
        </w:r>
        <w:r w:rsidR="009D4791">
          <w:rPr>
            <w:noProof/>
            <w:webHidden/>
          </w:rPr>
          <w:fldChar w:fldCharType="separate"/>
        </w:r>
        <w:r w:rsidR="009D4791">
          <w:rPr>
            <w:noProof/>
            <w:webHidden/>
          </w:rPr>
          <w:t>8</w:t>
        </w:r>
        <w:r w:rsidR="009D4791">
          <w:rPr>
            <w:noProof/>
            <w:webHidden/>
          </w:rPr>
          <w:fldChar w:fldCharType="end"/>
        </w:r>
      </w:hyperlink>
    </w:p>
    <w:p w14:paraId="70737DF0" w14:textId="77777777" w:rsidR="009D4791" w:rsidRDefault="0000000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6" w:history="1">
        <w:r w:rsidR="009D4791" w:rsidRPr="008553F6">
          <w:rPr>
            <w:rStyle w:val="Hyperlink"/>
            <w:noProof/>
          </w:rPr>
          <w:t>Section D Further company and import information</w:t>
        </w:r>
        <w:r w:rsidR="009D4791">
          <w:rPr>
            <w:noProof/>
            <w:webHidden/>
          </w:rPr>
          <w:tab/>
        </w:r>
        <w:r w:rsidR="009D4791">
          <w:rPr>
            <w:noProof/>
            <w:webHidden/>
          </w:rPr>
          <w:fldChar w:fldCharType="begin"/>
        </w:r>
        <w:r w:rsidR="009D4791">
          <w:rPr>
            <w:noProof/>
            <w:webHidden/>
          </w:rPr>
          <w:instrText xml:space="preserve"> PAGEREF _Toc104457346 \h </w:instrText>
        </w:r>
        <w:r w:rsidR="009D4791">
          <w:rPr>
            <w:noProof/>
            <w:webHidden/>
          </w:rPr>
        </w:r>
        <w:r w:rsidR="009D4791">
          <w:rPr>
            <w:noProof/>
            <w:webHidden/>
          </w:rPr>
          <w:fldChar w:fldCharType="separate"/>
        </w:r>
        <w:r w:rsidR="009D4791">
          <w:rPr>
            <w:noProof/>
            <w:webHidden/>
          </w:rPr>
          <w:t>9</w:t>
        </w:r>
        <w:r w:rsidR="009D4791">
          <w:rPr>
            <w:noProof/>
            <w:webHidden/>
          </w:rPr>
          <w:fldChar w:fldCharType="end"/>
        </w:r>
      </w:hyperlink>
    </w:p>
    <w:p w14:paraId="19B342B9" w14:textId="77777777" w:rsidR="009D4791" w:rsidRDefault="0000000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7" w:history="1">
        <w:r w:rsidR="009D4791" w:rsidRPr="008553F6">
          <w:rPr>
            <w:rStyle w:val="Hyperlink"/>
            <w:noProof/>
          </w:rPr>
          <w:t>Section E Further sales information</w:t>
        </w:r>
        <w:r w:rsidR="009D4791">
          <w:rPr>
            <w:noProof/>
            <w:webHidden/>
          </w:rPr>
          <w:tab/>
        </w:r>
        <w:r w:rsidR="009D4791">
          <w:rPr>
            <w:noProof/>
            <w:webHidden/>
          </w:rPr>
          <w:fldChar w:fldCharType="begin"/>
        </w:r>
        <w:r w:rsidR="009D4791">
          <w:rPr>
            <w:noProof/>
            <w:webHidden/>
          </w:rPr>
          <w:instrText xml:space="preserve"> PAGEREF _Toc104457347 \h </w:instrText>
        </w:r>
        <w:r w:rsidR="009D4791">
          <w:rPr>
            <w:noProof/>
            <w:webHidden/>
          </w:rPr>
        </w:r>
        <w:r w:rsidR="009D4791">
          <w:rPr>
            <w:noProof/>
            <w:webHidden/>
          </w:rPr>
          <w:fldChar w:fldCharType="separate"/>
        </w:r>
        <w:r w:rsidR="009D4791">
          <w:rPr>
            <w:noProof/>
            <w:webHidden/>
          </w:rPr>
          <w:t>12</w:t>
        </w:r>
        <w:r w:rsidR="009D4791">
          <w:rPr>
            <w:noProof/>
            <w:webHidden/>
          </w:rPr>
          <w:fldChar w:fldCharType="end"/>
        </w:r>
      </w:hyperlink>
    </w:p>
    <w:p w14:paraId="1A0681D2" w14:textId="77777777" w:rsidR="00DD2C05" w:rsidRPr="00DD2C05" w:rsidRDefault="00DD2C05" w:rsidP="00DD2C05">
      <w:r>
        <w:fldChar w:fldCharType="end"/>
      </w:r>
    </w:p>
    <w:p w14:paraId="1A0681D3" w14:textId="77777777" w:rsidR="00515B70" w:rsidRDefault="00515B70" w:rsidP="00033ADB">
      <w:pPr>
        <w:pStyle w:val="Heading1"/>
      </w:pPr>
      <w:bookmarkStart w:id="5" w:name="_Toc506971815"/>
      <w:bookmarkStart w:id="6" w:name="_Toc508203807"/>
      <w:bookmarkStart w:id="7" w:name="_Toc508290341"/>
      <w:bookmarkStart w:id="8" w:name="_Toc515637625"/>
      <w:bookmarkStart w:id="9" w:name="_Toc104457341"/>
      <w:r>
        <w:lastRenderedPageBreak/>
        <w:t>Instructions</w:t>
      </w:r>
      <w:bookmarkEnd w:id="5"/>
      <w:bookmarkEnd w:id="6"/>
      <w:bookmarkEnd w:id="7"/>
      <w:bookmarkEnd w:id="8"/>
      <w:bookmarkEnd w:id="9"/>
    </w:p>
    <w:p w14:paraId="1A0681D4" w14:textId="77777777" w:rsidR="00515B70" w:rsidRDefault="00515B70">
      <w:pPr>
        <w:widowControl w:val="0"/>
        <w:rPr>
          <w:snapToGrid w:val="0"/>
        </w:rPr>
      </w:pPr>
    </w:p>
    <w:p w14:paraId="1A0681D5" w14:textId="5A76AB8F"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bookmarkEnd w:id="11"/>
      <w:bookmarkEnd w:id="12"/>
      <w:bookmarkEnd w:id="13"/>
      <w:bookmarkEnd w:id="14"/>
    </w:p>
    <w:p w14:paraId="1A0681D6" w14:textId="77777777" w:rsidR="00515B70" w:rsidRDefault="00515B70" w:rsidP="00773597">
      <w:pPr>
        <w:rPr>
          <w:snapToGrid w:val="0"/>
        </w:rPr>
      </w:pPr>
    </w:p>
    <w:p w14:paraId="1A0681D7" w14:textId="78EF4EC8" w:rsidR="00162238" w:rsidRDefault="00515B70" w:rsidP="00162238">
      <w:r>
        <w:rPr>
          <w:snapToGrid w:val="0"/>
        </w:rPr>
        <w:t xml:space="preserve">The </w:t>
      </w:r>
      <w:r w:rsidR="00CD2329">
        <w:rPr>
          <w:snapToGrid w:val="0"/>
        </w:rPr>
        <w:t>Anti-Dumping Commission (</w:t>
      </w:r>
      <w:r w:rsidR="00A165CB">
        <w:rPr>
          <w:snapToGrid w:val="0"/>
        </w:rPr>
        <w:t>the commission</w:t>
      </w:r>
      <w:r>
        <w:rPr>
          <w:snapToGrid w:val="0"/>
        </w:rPr>
        <w:t xml:space="preserve">) is </w:t>
      </w:r>
      <w:r w:rsidR="00605FAA">
        <w:rPr>
          <w:snapToGrid w:val="0"/>
        </w:rPr>
        <w:t xml:space="preserve">conducting </w:t>
      </w:r>
      <w:r w:rsidR="007A2DAA">
        <w:rPr>
          <w:snapToGrid w:val="0"/>
        </w:rPr>
        <w:t>a continuing inquiry</w:t>
      </w:r>
      <w:r w:rsidR="00605FAA">
        <w:rPr>
          <w:snapToGrid w:val="0"/>
        </w:rPr>
        <w:t xml:space="preserve"> into</w:t>
      </w:r>
      <w:r w:rsidR="007A2DAA">
        <w:rPr>
          <w:snapToGrid w:val="0"/>
        </w:rPr>
        <w:t xml:space="preserve"> the </w:t>
      </w:r>
      <w:r w:rsidR="00645504">
        <w:rPr>
          <w:snapToGrid w:val="0"/>
        </w:rPr>
        <w:br/>
      </w:r>
      <w:r w:rsidR="007A2DAA">
        <w:rPr>
          <w:snapToGrid w:val="0"/>
        </w:rPr>
        <w:t>anti-dumping measures appli</w:t>
      </w:r>
      <w:r w:rsidR="00D6011A">
        <w:rPr>
          <w:snapToGrid w:val="0"/>
        </w:rPr>
        <w:t>c</w:t>
      </w:r>
      <w:r w:rsidR="007A2DAA">
        <w:rPr>
          <w:snapToGrid w:val="0"/>
        </w:rPr>
        <w:t xml:space="preserve">able to </w:t>
      </w:r>
      <w:r w:rsidR="00D6011A">
        <w:rPr>
          <w:snapToGrid w:val="0"/>
        </w:rPr>
        <w:t>steel reinforcing bars</w:t>
      </w:r>
      <w:r>
        <w:rPr>
          <w:snapToGrid w:val="0"/>
        </w:rPr>
        <w:t xml:space="preserve"> </w:t>
      </w:r>
      <w:r w:rsidR="00884389">
        <w:rPr>
          <w:snapToGrid w:val="0"/>
        </w:rPr>
        <w:t xml:space="preserve">(the goods) </w:t>
      </w:r>
      <w:r>
        <w:rPr>
          <w:snapToGrid w:val="0"/>
        </w:rPr>
        <w:t xml:space="preserve">exported to Australia from </w:t>
      </w:r>
      <w:r w:rsidR="00D6011A" w:rsidRPr="00645504">
        <w:rPr>
          <w:snapToGrid w:val="0"/>
        </w:rPr>
        <w:t xml:space="preserve">the Republic of Korea and the </w:t>
      </w:r>
      <w:r w:rsidR="008A5B33" w:rsidRPr="00645504">
        <w:rPr>
          <w:snapToGrid w:val="0"/>
        </w:rPr>
        <w:t>Kingdom</w:t>
      </w:r>
      <w:r w:rsidR="00D6011A" w:rsidRPr="00645504">
        <w:rPr>
          <w:snapToGrid w:val="0"/>
        </w:rPr>
        <w:t xml:space="preserve"> of Spain</w:t>
      </w:r>
      <w:r w:rsidR="008A5B33" w:rsidRPr="00645504">
        <w:rPr>
          <w:snapToGrid w:val="0"/>
        </w:rPr>
        <w:t xml:space="preserve"> (except Nervacero S.A.).</w:t>
      </w:r>
      <w:r w:rsidR="00884389" w:rsidRPr="00645504">
        <w:rPr>
          <w:snapToGrid w:val="0"/>
        </w:rPr>
        <w:t xml:space="preserve"> </w:t>
      </w:r>
      <w:r w:rsidR="00AE0CD8">
        <w:t>Anti-</w:t>
      </w:r>
      <w:r w:rsidR="00162238">
        <w:t xml:space="preserve">Dumping Notice </w:t>
      </w:r>
      <w:r w:rsidR="00AD45BD">
        <w:t xml:space="preserve">(ADN) </w:t>
      </w:r>
      <w:r w:rsidR="00AE73A6" w:rsidRPr="00AE73A6">
        <w:t>2024/099</w:t>
      </w:r>
      <w:r w:rsidR="00162238" w:rsidRPr="00AE73A6">
        <w:t xml:space="preserve">, </w:t>
      </w:r>
      <w:r w:rsidR="00162238" w:rsidRPr="00884389">
        <w:t xml:space="preserve">available on </w:t>
      </w:r>
      <w:r w:rsidR="00A165CB">
        <w:t>the commission</w:t>
      </w:r>
      <w:r w:rsidR="00162238" w:rsidRPr="00884389">
        <w:t>’s website,</w:t>
      </w:r>
      <w:r w:rsidR="00162238">
        <w:t xml:space="preserve"> provides details of the goods under consideration, the application and the investigation procedures.</w:t>
      </w:r>
    </w:p>
    <w:p w14:paraId="1A0681D8" w14:textId="77777777" w:rsidR="00162238" w:rsidRDefault="00162238" w:rsidP="00884389">
      <w:pPr>
        <w:rPr>
          <w:snapToGrid w:val="0"/>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280A148D" w14:textId="6AE4F27D" w:rsidR="00645504" w:rsidRDefault="00291B5D" w:rsidP="00162238">
      <w:pPr>
        <w:rPr>
          <w:snapToGrid w:val="0"/>
        </w:rPr>
      </w:pPr>
      <w:r>
        <w:t xml:space="preserve">The </w:t>
      </w:r>
      <w:r w:rsidR="00645504">
        <w:t>commission</w:t>
      </w:r>
      <w:r>
        <w:t xml:space="preserve"> will collect and use information in accordance with the </w:t>
      </w:r>
      <w:r w:rsidR="00645504">
        <w:t>commission’s</w:t>
      </w:r>
      <w:r>
        <w:t xml:space="preserve"> Collection and Use of Information Policy</w:t>
      </w:r>
      <w:r w:rsidR="00645504">
        <w:t xml:space="preserve">, available here: </w:t>
      </w:r>
      <w:hyperlink r:id="rId13" w:history="1">
        <w:r w:rsidR="00645504" w:rsidRPr="009471A1">
          <w:rPr>
            <w:rStyle w:val="Hyperlink"/>
            <w:snapToGrid w:val="0"/>
          </w:rPr>
          <w:t>https://www.industry.gov.au/publications/anti-dumping-commission-collection-and-use-information-policy</w:t>
        </w:r>
      </w:hyperlink>
    </w:p>
    <w:p w14:paraId="621B839C" w14:textId="77777777" w:rsidR="00645504" w:rsidRPr="00196B09" w:rsidRDefault="00645504" w:rsidP="00162238">
      <w:pPr>
        <w:rPr>
          <w:snapToGrid w:val="0"/>
        </w:rPr>
      </w:pPr>
    </w:p>
    <w:p w14:paraId="1A0681DD" w14:textId="09055007"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p>
    <w:p w14:paraId="1A0681DE" w14:textId="77777777" w:rsidR="005D42EE" w:rsidRDefault="005D42EE" w:rsidP="005D42EE">
      <w:pPr>
        <w:rPr>
          <w:snapToGrid w:val="0"/>
        </w:rPr>
      </w:pPr>
    </w:p>
    <w:p w14:paraId="1A0681DF" w14:textId="352E6D7E"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w:t>
      </w:r>
      <w:r w:rsidR="00A165CB">
        <w:rPr>
          <w:snapToGrid w:val="0"/>
        </w:rPr>
        <w:t>the commission</w:t>
      </w:r>
      <w:r w:rsidR="00423B52">
        <w:t xml:space="preserve"> as soon as possible</w:t>
      </w:r>
      <w:r w:rsidRPr="00253B8A">
        <w:rPr>
          <w:snapToGrid w:val="0"/>
        </w:rPr>
        <w:t>.</w:t>
      </w:r>
    </w:p>
    <w:p w14:paraId="1A0681E0" w14:textId="77777777" w:rsidR="005D42EE" w:rsidRPr="00253B8A" w:rsidRDefault="005D42EE" w:rsidP="005D42EE"/>
    <w:p w14:paraId="1A0681E1" w14:textId="5470920D"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p>
    <w:p w14:paraId="1A0681E2" w14:textId="77777777" w:rsidR="00DD2C05" w:rsidRPr="00DD2C05" w:rsidRDefault="00DD2C05" w:rsidP="00DE0C5C"/>
    <w:p w14:paraId="1A0681E3" w14:textId="7D9FCFE4" w:rsidR="00423B52" w:rsidRDefault="007B1D24" w:rsidP="00DE0C5C">
      <w:pPr>
        <w:rPr>
          <w:snapToGrid w:val="0"/>
        </w:rPr>
      </w:pPr>
      <w:r w:rsidRPr="0013276E">
        <w:rPr>
          <w:snapToGrid w:val="0"/>
        </w:rPr>
        <w:t xml:space="preserve">You do not have to complete the questionnaire. However, if you do not respond, do not provide </w:t>
      </w:r>
      <w:r w:rsidR="00094A8C" w:rsidRPr="0013276E">
        <w:rPr>
          <w:snapToGrid w:val="0"/>
        </w:rPr>
        <w:t>all</w:t>
      </w:r>
      <w:r w:rsidRPr="0013276E">
        <w:rPr>
          <w:snapToGrid w:val="0"/>
        </w:rPr>
        <w:t xml:space="preserve"> the information sought, do not provide information within a reasonable </w:t>
      </w:r>
      <w:r w:rsidR="00094A8C" w:rsidRPr="0013276E">
        <w:rPr>
          <w:snapToGrid w:val="0"/>
        </w:rPr>
        <w:t>time</w:t>
      </w:r>
      <w:r w:rsidRPr="0013276E">
        <w:rPr>
          <w:snapToGrid w:val="0"/>
        </w:rPr>
        <w:t xml:space="preserve">, or do not allow </w:t>
      </w:r>
      <w:r w:rsidR="00A165CB">
        <w:rPr>
          <w:snapToGrid w:val="0"/>
        </w:rPr>
        <w:t>the commission</w:t>
      </w:r>
      <w:r w:rsidRPr="0013276E">
        <w:rPr>
          <w:snapToGrid w:val="0"/>
        </w:rPr>
        <w:t xml:space="preserve"> to verify the information, </w:t>
      </w:r>
      <w:r w:rsidR="00423B52">
        <w:rPr>
          <w:snapToGrid w:val="0"/>
        </w:rPr>
        <w:t xml:space="preserve">this may affect how the dumping margin 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9A4BE81"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w:t>
      </w:r>
      <w:r w:rsidR="00A165CB">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3C5AE7F7" w:rsidR="00DE0C5C" w:rsidRDefault="00DE0C5C" w:rsidP="00DE0C5C">
      <w:pPr>
        <w:rPr>
          <w:rFonts w:cs="Arial"/>
        </w:rPr>
      </w:pPr>
      <w:r>
        <w:rPr>
          <w:rFonts w:cs="Arial"/>
        </w:rPr>
        <w:t xml:space="preserve">When considering the extension request, </w:t>
      </w:r>
      <w:r w:rsidR="00A165CB">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1A0681EA" w14:textId="22680F58" w:rsidR="000300F5" w:rsidRDefault="00A165CB" w:rsidP="00441EA0">
      <w:pPr>
        <w:pStyle w:val="ListParagraph"/>
        <w:numPr>
          <w:ilvl w:val="0"/>
          <w:numId w:val="31"/>
        </w:numPr>
        <w:rPr>
          <w:rFonts w:cs="Arial"/>
        </w:rPr>
      </w:pPr>
      <w:r>
        <w:rPr>
          <w:rFonts w:cs="Arial"/>
        </w:rPr>
        <w:t>the commission</w:t>
      </w:r>
      <w:r w:rsidR="000300F5">
        <w:rPr>
          <w:rFonts w:cs="Arial"/>
        </w:rPr>
        <w:t>’s responsibility to conduct the case in a timely and efficient manner</w:t>
      </w:r>
    </w:p>
    <w:p w14:paraId="1A0681EB" w14:textId="0D216A3B" w:rsidR="00DE0C5C" w:rsidRPr="008553F9" w:rsidRDefault="008553F9" w:rsidP="00441EA0">
      <w:pPr>
        <w:pStyle w:val="ListParagraph"/>
        <w:numPr>
          <w:ilvl w:val="0"/>
          <w:numId w:val="31"/>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1A0681EC" w14:textId="55F502F1" w:rsidR="00DE0C5C" w:rsidRPr="008553F9" w:rsidRDefault="00DE0C5C" w:rsidP="00441EA0">
      <w:pPr>
        <w:pStyle w:val="ListParagraph"/>
        <w:numPr>
          <w:ilvl w:val="0"/>
          <w:numId w:val="31"/>
        </w:numPr>
        <w:rPr>
          <w:rFonts w:cs="Arial"/>
        </w:rPr>
      </w:pPr>
      <w:r w:rsidRPr="008553F9">
        <w:rPr>
          <w:rFonts w:cs="Arial"/>
        </w:rPr>
        <w:t>ordinary business practices or commercial principles</w:t>
      </w:r>
    </w:p>
    <w:p w14:paraId="1A0681ED" w14:textId="2205B15C" w:rsidR="00DE0C5C" w:rsidRPr="008553F9" w:rsidRDefault="00A165CB" w:rsidP="00441EA0">
      <w:pPr>
        <w:pStyle w:val="ListParagraph"/>
        <w:numPr>
          <w:ilvl w:val="0"/>
          <w:numId w:val="31"/>
        </w:numPr>
        <w:rPr>
          <w:rFonts w:cs="Arial"/>
        </w:rPr>
      </w:pPr>
      <w:r>
        <w:rPr>
          <w:rFonts w:cs="Arial"/>
        </w:rPr>
        <w:t>the commission</w:t>
      </w:r>
      <w:r w:rsidR="00DE0C5C" w:rsidRPr="008553F9">
        <w:rPr>
          <w:rFonts w:cs="Arial"/>
        </w:rPr>
        <w:t>’s understanding of the relevant industry</w:t>
      </w:r>
    </w:p>
    <w:p w14:paraId="1A0681EE" w14:textId="4C614CBF" w:rsidR="000300F5" w:rsidRDefault="00DE0C5C" w:rsidP="00441EA0">
      <w:pPr>
        <w:pStyle w:val="ListParagraph"/>
        <w:numPr>
          <w:ilvl w:val="0"/>
          <w:numId w:val="31"/>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p>
    <w:p w14:paraId="1A0681EF" w14:textId="77777777" w:rsidR="008553F9" w:rsidRPr="008553F9" w:rsidRDefault="00DE0C5C" w:rsidP="00441EA0">
      <w:pPr>
        <w:pStyle w:val="ListParagraph"/>
        <w:numPr>
          <w:ilvl w:val="0"/>
          <w:numId w:val="31"/>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sidRPr="00645504">
        <w:rPr>
          <w:rStyle w:val="Hyperlink"/>
          <w:color w:val="auto"/>
          <w:u w:val="none"/>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A0681F4" w14:textId="77777777" w:rsidR="00D7626F" w:rsidRDefault="00D7626F" w:rsidP="00DE0C5C"/>
    <w:p w14:paraId="27F0F9D9" w14:textId="77777777" w:rsidR="002D7957" w:rsidRDefault="002D7957" w:rsidP="00DE0C5C"/>
    <w:p w14:paraId="1800FEF7" w14:textId="63B0ED42" w:rsidR="002D7957" w:rsidRDefault="002D7957">
      <w:r>
        <w:br w:type="page"/>
      </w:r>
    </w:p>
    <w:p w14:paraId="1A0681F5" w14:textId="77777777" w:rsidR="00C01F98" w:rsidRDefault="00C01F98" w:rsidP="00C01F98">
      <w:pPr>
        <w:rPr>
          <w:b/>
        </w:rPr>
      </w:pPr>
      <w:r>
        <w:rPr>
          <w:b/>
        </w:rPr>
        <w:lastRenderedPageBreak/>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0" w:name="_Toc506971821"/>
      <w:bookmarkStart w:id="21" w:name="_Toc219017549"/>
      <w:bookmarkStart w:id="22" w:name="_Toc508203813"/>
      <w:bookmarkStart w:id="23" w:name="_Toc508290347"/>
      <w:bookmarkStart w:id="24" w:name="_Toc515637631"/>
    </w:p>
    <w:p w14:paraId="1A0681F9" w14:textId="77777777" w:rsidR="00515B70" w:rsidRPr="00125B70" w:rsidRDefault="001E0F36" w:rsidP="00C01F98">
      <w:r w:rsidRPr="00C01F98">
        <w:rPr>
          <w:b/>
        </w:rPr>
        <w:t>V</w:t>
      </w:r>
      <w:r w:rsidR="00515B70" w:rsidRPr="00C01F98">
        <w:rPr>
          <w:b/>
        </w:rPr>
        <w:t>erification of the information that you supply</w:t>
      </w:r>
      <w:bookmarkEnd w:id="20"/>
      <w:bookmarkEnd w:id="21"/>
      <w:bookmarkEnd w:id="22"/>
      <w:bookmarkEnd w:id="23"/>
      <w:bookmarkEnd w:id="24"/>
    </w:p>
    <w:p w14:paraId="1A0681FA" w14:textId="77777777" w:rsidR="00515B70" w:rsidRDefault="00515B70" w:rsidP="00C758F7">
      <w:pPr>
        <w:rPr>
          <w:snapToGrid w:val="0"/>
        </w:rPr>
      </w:pPr>
    </w:p>
    <w:p w14:paraId="1A0681FB" w14:textId="2CE2BED0" w:rsidR="00423B52" w:rsidRDefault="00A165CB" w:rsidP="00423B52">
      <w:pPr>
        <w:rPr>
          <w:snapToGrid w:val="0"/>
        </w:rPr>
      </w:pPr>
      <w:r>
        <w:rPr>
          <w:snapToGrid w:val="0"/>
        </w:rPr>
        <w:t>The commission</w:t>
      </w:r>
      <w:r w:rsidR="00423B52" w:rsidRPr="00423B52">
        <w:rPr>
          <w:snapToGrid w:val="0"/>
        </w:rPr>
        <w:t xml:space="preserve"> may visit your company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2301BF38" w:rsidR="00423B52" w:rsidRDefault="00094A8C" w:rsidP="00423B52">
      <w:pPr>
        <w:rPr>
          <w:snapToGrid w:val="0"/>
        </w:rPr>
      </w:pPr>
      <w:r w:rsidRPr="00423B52">
        <w:rPr>
          <w:snapToGrid w:val="0"/>
        </w:rPr>
        <w:t>For</w:t>
      </w:r>
      <w:r w:rsidR="00423B52" w:rsidRPr="00423B52">
        <w:rPr>
          <w:snapToGrid w:val="0"/>
        </w:rPr>
        <w:t xml:space="preserve"> such a visit to run smoothly, </w:t>
      </w:r>
      <w:r w:rsidR="00A165CB">
        <w:rPr>
          <w:snapToGrid w:val="0"/>
        </w:rPr>
        <w:t>the commission</w:t>
      </w:r>
      <w:r w:rsidR="00423B52" w:rsidRPr="00423B52">
        <w:rPr>
          <w:snapToGrid w:val="0"/>
        </w:rPr>
        <w:t xml:space="preserve"> representatives will need to speak with key company personnel, such as those responsible for imports, sales and company accounts. It would be appreciated if all relevant company records requested, including import documentation, sales information, financial data and any working papers were made available to </w:t>
      </w:r>
      <w:r w:rsidR="00A165CB">
        <w:rPr>
          <w:snapToGrid w:val="0"/>
        </w:rPr>
        <w:t>the commission</w:t>
      </w:r>
      <w:r w:rsidR="00423B52" w:rsidRPr="00423B52">
        <w:rPr>
          <w:snapToGrid w:val="0"/>
        </w:rPr>
        <w:t xml:space="preserve"> officers. </w:t>
      </w:r>
    </w:p>
    <w:p w14:paraId="1A0681FE" w14:textId="77777777" w:rsidR="0078078F" w:rsidRPr="00423B52" w:rsidRDefault="0078078F" w:rsidP="00423B52">
      <w:pPr>
        <w:rPr>
          <w:snapToGrid w:val="0"/>
        </w:rPr>
      </w:pPr>
    </w:p>
    <w:p w14:paraId="1A0681FF" w14:textId="7819BD4E" w:rsidR="00423B52" w:rsidRDefault="00A165CB" w:rsidP="00423B52">
      <w:pPr>
        <w:rPr>
          <w:snapToGrid w:val="0"/>
        </w:rPr>
      </w:pPr>
      <w:r>
        <w:rPr>
          <w:snapToGrid w:val="0"/>
        </w:rPr>
        <w:t>The commission</w:t>
      </w:r>
      <w:r w:rsidR="00423B52"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00423B52" w:rsidRPr="00423B52">
        <w:rPr>
          <w:snapToGrid w:val="0"/>
        </w:rPr>
        <w:t xml:space="preserve"> cannot gain access to the relevant documentation, it may not be able to use your cost and sales information and may have to rely on other information to establish export prices and assess the Australian industry’s injury claims.</w:t>
      </w:r>
    </w:p>
    <w:p w14:paraId="1A068200" w14:textId="77777777" w:rsidR="0078078F" w:rsidRPr="00423B52" w:rsidRDefault="0078078F" w:rsidP="00423B52">
      <w:pPr>
        <w:rPr>
          <w:snapToGrid w:val="0"/>
        </w:rPr>
      </w:pPr>
    </w:p>
    <w:p w14:paraId="1A068201" w14:textId="37F123B8" w:rsidR="00423B52" w:rsidRDefault="00423B52" w:rsidP="00423B52">
      <w:pPr>
        <w:rPr>
          <w:snapToGrid w:val="0"/>
        </w:rPr>
      </w:pPr>
      <w:r w:rsidRPr="00423B52">
        <w:rPr>
          <w:snapToGrid w:val="0"/>
        </w:rPr>
        <w:t xml:space="preserve">It is important that you fully understand </w:t>
      </w:r>
      <w:r w:rsidRPr="00645504">
        <w:rPr>
          <w:snapToGrid w:val="0"/>
        </w:rPr>
        <w:t xml:space="preserve">the </w:t>
      </w:r>
      <w:r w:rsidR="00746BF7" w:rsidRPr="00645504">
        <w:rPr>
          <w:snapToGrid w:val="0"/>
        </w:rPr>
        <w:t xml:space="preserve">continuation </w:t>
      </w:r>
      <w:r w:rsidR="00EC787D" w:rsidRPr="00645504">
        <w:rPr>
          <w:snapToGrid w:val="0"/>
        </w:rPr>
        <w:t>inquiry</w:t>
      </w:r>
      <w:r w:rsidRPr="00645504">
        <w:rPr>
          <w:snapToGrid w:val="0"/>
        </w:rPr>
        <w:t xml:space="preserve"> </w:t>
      </w:r>
      <w:r w:rsidRPr="00423B52">
        <w:rPr>
          <w:snapToGrid w:val="0"/>
        </w:rPr>
        <w:t xml:space="preserve">process, and the role of </w:t>
      </w:r>
      <w:r w:rsidR="00A165CB">
        <w:rPr>
          <w:snapToGrid w:val="0"/>
        </w:rPr>
        <w:t>the commission</w:t>
      </w:r>
      <w:r w:rsidRPr="00423B52">
        <w:rPr>
          <w:snapToGrid w:val="0"/>
        </w:rPr>
        <w:t xml:space="preserve"> in car</w:t>
      </w:r>
      <w:r w:rsidR="0078078F">
        <w:rPr>
          <w:snapToGrid w:val="0"/>
        </w:rPr>
        <w:t xml:space="preserve">rying </w:t>
      </w:r>
      <w:r w:rsidR="0078078F" w:rsidRPr="00645504">
        <w:rPr>
          <w:snapToGrid w:val="0"/>
        </w:rPr>
        <w:t xml:space="preserve">out the </w:t>
      </w:r>
      <w:r w:rsidR="00EC787D" w:rsidRPr="00645504">
        <w:rPr>
          <w:snapToGrid w:val="0"/>
        </w:rPr>
        <w:t>inquiry</w:t>
      </w:r>
      <w:r w:rsidR="0078078F" w:rsidRPr="00645504">
        <w:rPr>
          <w:snapToGrid w:val="0"/>
        </w:rPr>
        <w:t>.</w:t>
      </w:r>
      <w:r w:rsidRPr="00645504">
        <w:rPr>
          <w:snapToGrid w:val="0"/>
        </w:rPr>
        <w:t xml:space="preserve"> To this end, the proposed visit to your company will be useful for us to explain in detail the </w:t>
      </w:r>
      <w:r w:rsidR="00EC787D" w:rsidRPr="00645504">
        <w:rPr>
          <w:snapToGrid w:val="0"/>
        </w:rPr>
        <w:t xml:space="preserve">inquiry </w:t>
      </w:r>
      <w:r w:rsidRPr="00645504">
        <w:rPr>
          <w:snapToGrid w:val="0"/>
        </w:rPr>
        <w:t xml:space="preserve">procedures </w:t>
      </w:r>
      <w:r w:rsidRPr="00423B52">
        <w:rPr>
          <w:snapToGrid w:val="0"/>
        </w:rPr>
        <w:t>and related issues.</w:t>
      </w:r>
    </w:p>
    <w:p w14:paraId="1A068202" w14:textId="77777777" w:rsidR="00423B52" w:rsidRDefault="00423B52" w:rsidP="00C758F7">
      <w:pPr>
        <w:rPr>
          <w:snapToGrid w:val="0"/>
        </w:rPr>
      </w:pPr>
    </w:p>
    <w:p w14:paraId="1A068203" w14:textId="58007703" w:rsidR="009A202A" w:rsidRDefault="009A202A" w:rsidP="00F5197E">
      <w:r>
        <w:t xml:space="preserve">For information on </w:t>
      </w:r>
      <w:r w:rsidR="00A165CB">
        <w:t>the commission</w:t>
      </w:r>
      <w:r>
        <w:t>’s verification procedures, refer to Anti-Dumping Notice 2016/</w:t>
      </w:r>
      <w:r w:rsidR="008B5280">
        <w:t>0</w:t>
      </w:r>
      <w:r>
        <w:t>30</w:t>
      </w:r>
      <w:r w:rsidR="00743ECB">
        <w:t xml:space="preserve"> available on </w:t>
      </w:r>
      <w:r w:rsidR="00A165CB">
        <w:t>the commission</w:t>
      </w:r>
      <w:r w:rsidR="00743ECB">
        <w:t>’s website.</w:t>
      </w:r>
    </w:p>
    <w:p w14:paraId="1A068204" w14:textId="77777777" w:rsidR="00F5197E" w:rsidRDefault="00F5197E" w:rsidP="008A237F"/>
    <w:p w14:paraId="1A068205" w14:textId="77777777" w:rsidR="00515B70" w:rsidRPr="00125B70" w:rsidRDefault="003F419C" w:rsidP="00C01F98">
      <w:bookmarkStart w:id="25" w:name="_Toc506971825"/>
      <w:bookmarkStart w:id="26" w:name="_Toc219017553"/>
      <w:bookmarkStart w:id="27" w:name="_Toc508203817"/>
      <w:bookmarkStart w:id="28" w:name="_Toc508290351"/>
      <w:bookmarkStart w:id="29" w:name="_Toc515637635"/>
      <w:r>
        <w:rPr>
          <w:b/>
        </w:rPr>
        <w:t>Important</w:t>
      </w:r>
      <w:r w:rsidR="00515B70" w:rsidRPr="00C01F98">
        <w:rPr>
          <w:b/>
        </w:rPr>
        <w:t xml:space="preserve"> instructions for preparing your response</w:t>
      </w:r>
      <w:bookmarkEnd w:id="25"/>
      <w:bookmarkEnd w:id="26"/>
      <w:bookmarkEnd w:id="27"/>
      <w:bookmarkEnd w:id="28"/>
      <w:bookmarkEnd w:id="29"/>
    </w:p>
    <w:p w14:paraId="1A068206" w14:textId="77777777" w:rsidR="00515B70" w:rsidRDefault="00515B70" w:rsidP="00C01F98">
      <w:pPr>
        <w:rPr>
          <w:snapToGrid w:val="0"/>
        </w:rPr>
      </w:pPr>
    </w:p>
    <w:p w14:paraId="1A068207" w14:textId="3CD1C83B" w:rsidR="00C63312" w:rsidRDefault="000838CC" w:rsidP="00441EA0">
      <w:pPr>
        <w:pStyle w:val="ListParagraph"/>
        <w:numPr>
          <w:ilvl w:val="0"/>
          <w:numId w:val="32"/>
        </w:numPr>
        <w:ind w:left="360"/>
      </w:pPr>
      <w:r>
        <w:t>A</w:t>
      </w:r>
      <w:r w:rsidR="00C63312">
        <w:t>ll questions</w:t>
      </w:r>
      <w:r>
        <w:t xml:space="preserve"> in this </w:t>
      </w:r>
      <w:r w:rsidR="00A165CB">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w:t>
      </w:r>
      <w:r w:rsidR="00FD7FB7">
        <w:t>‘</w:t>
      </w:r>
      <w:r w:rsidR="00C63312">
        <w:t>Not Applicable</w:t>
      </w:r>
      <w:r w:rsidR="00FD7FB7">
        <w:t>’</w:t>
      </w:r>
      <w:r w:rsidR="00C63312">
        <w:t xml:space="preserv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441EA0">
      <w:pPr>
        <w:pStyle w:val="ListParagraph"/>
        <w:numPr>
          <w:ilvl w:val="0"/>
          <w:numId w:val="32"/>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441EA0">
      <w:pPr>
        <w:pStyle w:val="ListParagraph"/>
        <w:numPr>
          <w:ilvl w:val="0"/>
          <w:numId w:val="32"/>
        </w:numPr>
        <w:ind w:left="360"/>
      </w:pPr>
      <w:r>
        <w:t>Clearly identify all units of measurement</w:t>
      </w:r>
      <w:r w:rsidR="00F22E1D">
        <w:t xml:space="preserve"> (e.g.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441EA0">
      <w:pPr>
        <w:pStyle w:val="ListParagraph"/>
        <w:numPr>
          <w:ilvl w:val="0"/>
          <w:numId w:val="32"/>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441EA0">
      <w:pPr>
        <w:pStyle w:val="ListParagraph"/>
        <w:numPr>
          <w:ilvl w:val="0"/>
          <w:numId w:val="32"/>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441EA0">
      <w:pPr>
        <w:pStyle w:val="ListParagraph"/>
        <w:numPr>
          <w:ilvl w:val="0"/>
          <w:numId w:val="32"/>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0AB9FCA6" w:rsidR="000838CC" w:rsidRDefault="000838CC" w:rsidP="00441EA0">
      <w:pPr>
        <w:pStyle w:val="ListParagraph"/>
        <w:numPr>
          <w:ilvl w:val="0"/>
          <w:numId w:val="32"/>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A165CB">
        <w:t>the commission</w:t>
      </w:r>
      <w:r>
        <w:t>’s verification of your data.</w:t>
      </w:r>
    </w:p>
    <w:p w14:paraId="1A068214" w14:textId="77777777" w:rsidR="000838CC" w:rsidRDefault="000838CC" w:rsidP="000838CC">
      <w:pPr>
        <w:pStyle w:val="ListParagraph"/>
      </w:pPr>
    </w:p>
    <w:p w14:paraId="1A068215" w14:textId="76976D8A" w:rsidR="000838CC" w:rsidRDefault="000838CC" w:rsidP="00441EA0">
      <w:pPr>
        <w:pStyle w:val="ListParagraph"/>
        <w:numPr>
          <w:ilvl w:val="0"/>
          <w:numId w:val="32"/>
        </w:numPr>
        <w:ind w:left="360"/>
      </w:pPr>
      <w:r>
        <w:t>If you cannot present electronic data in the requested format</w:t>
      </w:r>
      <w:r w:rsidR="00586124">
        <w:t>,</w:t>
      </w:r>
      <w:r>
        <w:t xml:space="preserve"> contact the </w:t>
      </w:r>
      <w:r w:rsidR="00A165CB">
        <w:t>commission</w:t>
      </w:r>
      <w:r>
        <w:t xml:space="preserve"> as soon as possible.</w:t>
      </w:r>
    </w:p>
    <w:p w14:paraId="1A068216" w14:textId="77777777" w:rsidR="000838CC" w:rsidRDefault="000838CC" w:rsidP="000838CC"/>
    <w:p w14:paraId="1A068217" w14:textId="010EB712" w:rsidR="00515B70" w:rsidRDefault="009057A6" w:rsidP="00441EA0">
      <w:pPr>
        <w:pStyle w:val="ListParagraph"/>
        <w:numPr>
          <w:ilvl w:val="0"/>
          <w:numId w:val="32"/>
        </w:numPr>
        <w:ind w:left="360"/>
      </w:pPr>
      <w:r>
        <w:t>Where possible, electronic</w:t>
      </w:r>
      <w:r w:rsidR="00515B70">
        <w:t xml:space="preserve"> data should be </w:t>
      </w:r>
      <w:r>
        <w:t>shared</w:t>
      </w:r>
      <w:r w:rsidR="00515B70">
        <w:t xml:space="preserve"> with </w:t>
      </w:r>
      <w:r w:rsidR="00A165CB">
        <w:t>the commission</w:t>
      </w:r>
      <w:r>
        <w:t xml:space="preserve"> via </w:t>
      </w:r>
      <w:r w:rsidR="004864EC">
        <w:t>SIGBOX</w:t>
      </w:r>
      <w:r>
        <w:t xml:space="preserve">, a </w:t>
      </w:r>
      <w:r w:rsidR="006B016C">
        <w:t xml:space="preserve">secure </w:t>
      </w:r>
      <w:r>
        <w:t>online document repository.</w:t>
      </w:r>
      <w:r w:rsidR="000838CC">
        <w:t xml:space="preserve"> Please contact </w:t>
      </w:r>
      <w:r w:rsidR="00A165CB">
        <w:t>the commission</w:t>
      </w:r>
      <w:r w:rsidR="000838CC">
        <w:t xml:space="preserve"> to request access to SIGBOX if required.</w:t>
      </w:r>
    </w:p>
    <w:p w14:paraId="75831054" w14:textId="77777777" w:rsidR="00ED2D77" w:rsidRDefault="00ED2D77" w:rsidP="00E22DC8">
      <w:pPr>
        <w:pStyle w:val="ListParagraph"/>
      </w:pPr>
    </w:p>
    <w:p w14:paraId="2412412F" w14:textId="511433EB" w:rsidR="00ED2D77" w:rsidRDefault="00ED2D77" w:rsidP="00441EA0">
      <w:pPr>
        <w:pStyle w:val="ListParagraph"/>
        <w:numPr>
          <w:ilvl w:val="0"/>
          <w:numId w:val="32"/>
        </w:numPr>
        <w:ind w:left="360"/>
      </w:pPr>
      <w:r>
        <w:lastRenderedPageBreak/>
        <w:t xml:space="preserve">Please be aware that, if at any stage during this </w:t>
      </w:r>
      <w:r w:rsidR="00FB2AB0">
        <w:t>inquiry</w:t>
      </w:r>
      <w:r>
        <w:t xml:space="preserve"> you become aware that you have inadvertently received confidential information submitted by another party to this process (for example, via email), you have a responsibility to: </w:t>
      </w:r>
    </w:p>
    <w:p w14:paraId="6B5B6AFC" w14:textId="77777777" w:rsidR="00ED2D77" w:rsidRDefault="00ED2D77" w:rsidP="00E22DC8">
      <w:pPr>
        <w:pStyle w:val="ListParagraph"/>
      </w:pPr>
    </w:p>
    <w:p w14:paraId="4F0C4DEF" w14:textId="4BF114B1" w:rsidR="00ED2D77" w:rsidRDefault="00ED2D77" w:rsidP="00ED2D77">
      <w:pPr>
        <w:pStyle w:val="ListParagraph"/>
        <w:numPr>
          <w:ilvl w:val="1"/>
          <w:numId w:val="32"/>
        </w:numPr>
      </w:pPr>
      <w:r>
        <w:t>Notify the commission</w:t>
      </w:r>
    </w:p>
    <w:p w14:paraId="2C91EECE" w14:textId="7AB39527" w:rsidR="00ED2D77" w:rsidRDefault="00ED2D77" w:rsidP="00ED2D77">
      <w:pPr>
        <w:pStyle w:val="ListParagraph"/>
        <w:numPr>
          <w:ilvl w:val="1"/>
          <w:numId w:val="32"/>
        </w:numPr>
      </w:pPr>
      <w:r>
        <w:t>Delete the information from your system and</w:t>
      </w:r>
    </w:p>
    <w:p w14:paraId="07A5489D" w14:textId="295DDECF" w:rsidR="00ED2D77" w:rsidRDefault="00ED2D77">
      <w:pPr>
        <w:pStyle w:val="ListParagraph"/>
        <w:numPr>
          <w:ilvl w:val="1"/>
          <w:numId w:val="32"/>
        </w:numPr>
      </w:pPr>
      <w:r>
        <w:t xml:space="preserve">Refrain from </w:t>
      </w:r>
      <w:r w:rsidR="006A6B8F">
        <w:t>using,</w:t>
      </w:r>
      <w:r>
        <w:t xml:space="preserve"> sharing, or retaining the information in any way.</w:t>
      </w:r>
    </w:p>
    <w:p w14:paraId="5C1E6FB5" w14:textId="2367ABB8" w:rsidR="006A6B8F" w:rsidRDefault="006A6B8F" w:rsidP="006A6B8F"/>
    <w:p w14:paraId="5B337414" w14:textId="77777777" w:rsidR="006A6B8F" w:rsidRDefault="006A6B8F" w:rsidP="00E22DC8"/>
    <w:p w14:paraId="1A068218" w14:textId="2802015B" w:rsidR="00C758F7" w:rsidRDefault="00C758F7" w:rsidP="00033ADB">
      <w:pPr>
        <w:pStyle w:val="Heading1"/>
      </w:pPr>
      <w:bookmarkStart w:id="30" w:name="_Toc506971813"/>
      <w:bookmarkStart w:id="31" w:name="_Toc508203805"/>
      <w:bookmarkStart w:id="32" w:name="_Toc508290339"/>
      <w:bookmarkStart w:id="33" w:name="_Toc515637623"/>
      <w:bookmarkStart w:id="34" w:name="_Toc104457342"/>
      <w:r>
        <w:lastRenderedPageBreak/>
        <w:t xml:space="preserve">Goods </w:t>
      </w:r>
      <w:bookmarkEnd w:id="30"/>
      <w:bookmarkEnd w:id="31"/>
      <w:bookmarkEnd w:id="32"/>
      <w:bookmarkEnd w:id="33"/>
      <w:r w:rsidR="00D97DCB">
        <w:t>subject to Anti-dumping measures</w:t>
      </w:r>
      <w:bookmarkEnd w:id="34"/>
    </w:p>
    <w:p w14:paraId="1A068219" w14:textId="77777777" w:rsidR="00C758F7" w:rsidRDefault="00C758F7" w:rsidP="00C758F7">
      <w:pPr>
        <w:widowControl w:val="0"/>
        <w:rPr>
          <w:snapToGrid w:val="0"/>
        </w:rPr>
      </w:pPr>
    </w:p>
    <w:p w14:paraId="4B0F59E1" w14:textId="77777777" w:rsidR="00DF614A" w:rsidRDefault="00DF614A" w:rsidP="00DF614A">
      <w:pPr>
        <w:rPr>
          <w:snapToGrid w:val="0"/>
        </w:rPr>
      </w:pPr>
      <w:r>
        <w:rPr>
          <w:snapToGrid w:val="0"/>
        </w:rPr>
        <w:t>The goods under consideration (the goods) are:</w:t>
      </w:r>
    </w:p>
    <w:p w14:paraId="26F7DE90" w14:textId="77777777" w:rsidR="00DF614A" w:rsidRDefault="00DF614A" w:rsidP="00DF614A">
      <w:pPr>
        <w:rPr>
          <w:snapToGrid w:val="0"/>
        </w:rPr>
      </w:pPr>
    </w:p>
    <w:p w14:paraId="0E21FB47" w14:textId="77777777" w:rsidR="00DF614A" w:rsidRPr="0018191B" w:rsidRDefault="00DF614A" w:rsidP="00DF614A">
      <w:pPr>
        <w:ind w:left="567" w:right="663"/>
        <w:rPr>
          <w:i/>
          <w:iCs/>
          <w:snapToGrid w:val="0"/>
          <w:sz w:val="24"/>
          <w:szCs w:val="24"/>
        </w:rPr>
      </w:pPr>
      <w:r w:rsidRPr="00F36A63">
        <w:rPr>
          <w:i/>
          <w:iCs/>
        </w:rPr>
        <w:t>Hot-rolled deformed steel reinforcing bar whether or not in coil form, commonly identified as rebar or debar, in various diameters up to and including 50 millimetres, containing indentations, ribs, grooves or other deformations produced during the rolling process. The goods include all steel reinforcing bar meeting the above description of the goods regardless of the particular grade or alloy content or coating</w:t>
      </w:r>
      <w:r w:rsidRPr="00713804">
        <w:rPr>
          <w:rFonts w:cs="Arial"/>
          <w:i/>
          <w:snapToGrid w:val="0"/>
        </w:rPr>
        <w:t>.</w:t>
      </w:r>
    </w:p>
    <w:p w14:paraId="48B198C7" w14:textId="77777777" w:rsidR="00DF614A" w:rsidRDefault="00DF614A" w:rsidP="00DF614A">
      <w:pPr>
        <w:rPr>
          <w:snapToGrid w:val="0"/>
        </w:rPr>
      </w:pPr>
    </w:p>
    <w:p w14:paraId="603ED6CB" w14:textId="77777777" w:rsidR="00DF614A" w:rsidRPr="00645504" w:rsidRDefault="00DF614A" w:rsidP="00645504">
      <w:pPr>
        <w:ind w:left="567"/>
        <w:rPr>
          <w:i/>
          <w:iCs/>
          <w:snapToGrid w:val="0"/>
        </w:rPr>
      </w:pPr>
      <w:r w:rsidRPr="00645504">
        <w:rPr>
          <w:i/>
          <w:iCs/>
          <w:snapToGrid w:val="0"/>
        </w:rPr>
        <w:t xml:space="preserve">The goods </w:t>
      </w:r>
      <w:r w:rsidRPr="00645504">
        <w:rPr>
          <w:i/>
          <w:iCs/>
          <w:snapToGrid w:val="0"/>
          <w:u w:val="single"/>
        </w:rPr>
        <w:t>do not include</w:t>
      </w:r>
      <w:r w:rsidRPr="00645504">
        <w:rPr>
          <w:i/>
          <w:iCs/>
          <w:snapToGrid w:val="0"/>
        </w:rPr>
        <w:t xml:space="preserve"> plain round bar, stainless steel and reinforcing mesh.</w:t>
      </w:r>
    </w:p>
    <w:p w14:paraId="65C3150B" w14:textId="77777777" w:rsidR="00DF614A" w:rsidRDefault="00DF614A" w:rsidP="00DF614A">
      <w:pPr>
        <w:rPr>
          <w:snapToGrid w:val="0"/>
        </w:rPr>
      </w:pPr>
    </w:p>
    <w:p w14:paraId="1D54F6E3" w14:textId="77777777" w:rsidR="004D55DD" w:rsidRPr="00133781" w:rsidRDefault="004D55DD" w:rsidP="004D55DD">
      <w:pPr>
        <w:widowControl w:val="0"/>
        <w:rPr>
          <w:snapToGrid w:val="0"/>
        </w:rPr>
      </w:pPr>
      <w:r w:rsidRPr="00133781">
        <w:rPr>
          <w:snapToGrid w:val="0"/>
        </w:rPr>
        <w:t xml:space="preserve">The goods are generally, but not exclusively, classified to the following tariff subheadings of Schedule 3 to the </w:t>
      </w:r>
      <w:r w:rsidRPr="004D6403">
        <w:rPr>
          <w:i/>
          <w:iCs/>
          <w:snapToGrid w:val="0"/>
        </w:rPr>
        <w:t>Customs Tariff Act 1995</w:t>
      </w:r>
      <w:r w:rsidRPr="00133781">
        <w:rPr>
          <w:snapToGrid w:val="0"/>
        </w:rPr>
        <w:t>:</w:t>
      </w:r>
    </w:p>
    <w:p w14:paraId="5F902A78" w14:textId="77777777" w:rsidR="004D55DD" w:rsidRDefault="004D55DD" w:rsidP="004D55DD">
      <w:pPr>
        <w:rPr>
          <w:snapToGrid w:val="0"/>
        </w:rPr>
      </w:pPr>
    </w:p>
    <w:tbl>
      <w:tblPr>
        <w:tblW w:w="878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701"/>
        <w:gridCol w:w="1422"/>
        <w:gridCol w:w="5661"/>
      </w:tblGrid>
      <w:tr w:rsidR="004D55DD" w:rsidRPr="000A61D8" w14:paraId="0490B28F" w14:textId="77777777" w:rsidTr="00A15587">
        <w:trPr>
          <w:tblHeade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8BA2CCA" w14:textId="77777777" w:rsidR="004D55DD" w:rsidRPr="005A2606" w:rsidRDefault="004D55DD" w:rsidP="005E341E">
            <w:pPr>
              <w:pStyle w:val="TextBody"/>
              <w:spacing w:before="40" w:after="40"/>
              <w:jc w:val="center"/>
              <w:rPr>
                <w:b/>
                <w:sz w:val="18"/>
                <w:szCs w:val="18"/>
              </w:rPr>
            </w:pPr>
            <w:r w:rsidRPr="005A2606">
              <w:rPr>
                <w:b/>
                <w:sz w:val="18"/>
                <w:szCs w:val="18"/>
              </w:rPr>
              <w:t>Tariff Subheading</w:t>
            </w:r>
          </w:p>
        </w:tc>
        <w:tc>
          <w:tcPr>
            <w:tcW w:w="142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59550A23" w14:textId="77777777" w:rsidR="004D55DD" w:rsidRPr="005A2606" w:rsidRDefault="004D55DD" w:rsidP="005E341E">
            <w:pPr>
              <w:pStyle w:val="TextBody"/>
              <w:spacing w:before="40" w:after="40"/>
              <w:jc w:val="center"/>
              <w:rPr>
                <w:b/>
                <w:sz w:val="18"/>
                <w:szCs w:val="18"/>
              </w:rPr>
            </w:pPr>
            <w:r w:rsidRPr="005A2606">
              <w:rPr>
                <w:b/>
                <w:sz w:val="18"/>
                <w:szCs w:val="18"/>
              </w:rPr>
              <w:t>Statistical Code</w:t>
            </w:r>
          </w:p>
        </w:tc>
        <w:tc>
          <w:tcPr>
            <w:tcW w:w="566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2E72C8DE" w14:textId="77777777" w:rsidR="004D55DD" w:rsidRPr="005A2606" w:rsidRDefault="004D55DD" w:rsidP="005E341E">
            <w:pPr>
              <w:pStyle w:val="TextBody"/>
              <w:spacing w:before="40" w:after="40"/>
              <w:rPr>
                <w:b/>
                <w:sz w:val="18"/>
                <w:szCs w:val="18"/>
              </w:rPr>
            </w:pPr>
            <w:r w:rsidRPr="005A2606">
              <w:rPr>
                <w:b/>
                <w:sz w:val="18"/>
                <w:szCs w:val="18"/>
              </w:rPr>
              <w:t>Description</w:t>
            </w:r>
          </w:p>
        </w:tc>
      </w:tr>
      <w:tr w:rsidR="004D55DD" w:rsidRPr="0033481A" w14:paraId="7D62DD98" w14:textId="77777777" w:rsidTr="00A15587">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1EDD7C" w14:textId="77777777" w:rsidR="004D55DD" w:rsidRPr="005A2606" w:rsidRDefault="004D55DD" w:rsidP="005E341E">
            <w:pPr>
              <w:pStyle w:val="TextBody"/>
              <w:spacing w:before="40" w:after="40"/>
              <w:jc w:val="center"/>
              <w:rPr>
                <w:bCs/>
                <w:sz w:val="18"/>
                <w:szCs w:val="18"/>
              </w:rPr>
            </w:pPr>
            <w:r w:rsidRPr="005A2606">
              <w:rPr>
                <w:bCs/>
                <w:sz w:val="18"/>
                <w:szCs w:val="18"/>
              </w:rPr>
              <w:t>7213.10.00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23A71A" w14:textId="77777777" w:rsidR="004D55DD" w:rsidRPr="005A2606" w:rsidRDefault="004D55DD" w:rsidP="005E341E">
            <w:pPr>
              <w:pStyle w:val="TextBody"/>
              <w:spacing w:before="40" w:after="40"/>
              <w:jc w:val="center"/>
              <w:rPr>
                <w:bCs/>
                <w:sz w:val="18"/>
                <w:szCs w:val="18"/>
              </w:rPr>
            </w:pPr>
            <w:r w:rsidRPr="005A2606">
              <w:rPr>
                <w:bCs/>
                <w:sz w:val="18"/>
                <w:szCs w:val="18"/>
              </w:rPr>
              <w:t>42</w:t>
            </w:r>
          </w:p>
        </w:tc>
        <w:tc>
          <w:tcPr>
            <w:tcW w:w="5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CE6E1C" w14:textId="77777777" w:rsidR="004D55DD" w:rsidRPr="005A2606" w:rsidRDefault="004D55DD" w:rsidP="005E341E">
            <w:pPr>
              <w:pStyle w:val="TextBody"/>
              <w:spacing w:before="40" w:after="40"/>
              <w:rPr>
                <w:bCs/>
                <w:sz w:val="18"/>
                <w:szCs w:val="18"/>
              </w:rPr>
            </w:pPr>
            <w:r w:rsidRPr="005A2606">
              <w:rPr>
                <w:bCs/>
                <w:sz w:val="18"/>
                <w:szCs w:val="18"/>
              </w:rPr>
              <w:t>Bars and rods, hot-rolled, in regularly wound coils, of iron or non-alloy steel containing indentations, ribs, grooves or other deformations produced during the rolling process.</w:t>
            </w:r>
          </w:p>
        </w:tc>
      </w:tr>
      <w:tr w:rsidR="004D55DD" w:rsidRPr="0033481A" w14:paraId="487F4AD1" w14:textId="77777777" w:rsidTr="00A15587">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DBFD9D" w14:textId="77777777" w:rsidR="004D55DD" w:rsidRPr="005A2606" w:rsidRDefault="004D55DD" w:rsidP="005E341E">
            <w:pPr>
              <w:pStyle w:val="TextBody"/>
              <w:spacing w:before="40" w:after="40"/>
              <w:jc w:val="center"/>
              <w:rPr>
                <w:bCs/>
                <w:sz w:val="18"/>
                <w:szCs w:val="18"/>
              </w:rPr>
            </w:pPr>
            <w:r w:rsidRPr="005A2606">
              <w:rPr>
                <w:bCs/>
                <w:sz w:val="18"/>
                <w:szCs w:val="18"/>
              </w:rPr>
              <w:t>7214.20.00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9D515F" w14:textId="77777777" w:rsidR="004D55DD" w:rsidRPr="005A2606" w:rsidRDefault="004D55DD" w:rsidP="005E341E">
            <w:pPr>
              <w:pStyle w:val="TextBody"/>
              <w:spacing w:before="40" w:after="40"/>
              <w:jc w:val="center"/>
              <w:rPr>
                <w:bCs/>
                <w:sz w:val="18"/>
                <w:szCs w:val="18"/>
              </w:rPr>
            </w:pPr>
            <w:r w:rsidRPr="005A2606">
              <w:rPr>
                <w:bCs/>
                <w:sz w:val="18"/>
                <w:szCs w:val="18"/>
              </w:rPr>
              <w:t>47</w:t>
            </w:r>
          </w:p>
        </w:tc>
        <w:tc>
          <w:tcPr>
            <w:tcW w:w="5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475B1E" w14:textId="77777777" w:rsidR="004D55DD" w:rsidRPr="005A2606" w:rsidRDefault="004D55DD" w:rsidP="005E341E">
            <w:pPr>
              <w:pStyle w:val="TextBody"/>
              <w:spacing w:before="40" w:after="40"/>
              <w:rPr>
                <w:bCs/>
                <w:sz w:val="18"/>
                <w:szCs w:val="18"/>
              </w:rPr>
            </w:pPr>
            <w:r w:rsidRPr="005A2606">
              <w:rPr>
                <w:bCs/>
                <w:sz w:val="18"/>
                <w:szCs w:val="18"/>
              </w:rPr>
              <w:t>Other bars and rods of iron or non-alloy steel, not further worked than forged, hot-rolled, hot-drawn or hot-extruded, but including those twisted after rolling containing indentations, ribs, grooves or other deformations produced during the rolling process or twisted after rolling.</w:t>
            </w:r>
          </w:p>
        </w:tc>
      </w:tr>
      <w:tr w:rsidR="004D55DD" w:rsidRPr="00890D7F" w14:paraId="22B04E92" w14:textId="77777777" w:rsidTr="00A15587">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660140" w14:textId="77777777" w:rsidR="004D55DD" w:rsidRPr="005A2606" w:rsidRDefault="004D55DD" w:rsidP="005E341E">
            <w:pPr>
              <w:pStyle w:val="TextBody"/>
              <w:spacing w:before="40" w:after="40"/>
              <w:jc w:val="center"/>
              <w:rPr>
                <w:bCs/>
                <w:sz w:val="18"/>
                <w:szCs w:val="18"/>
              </w:rPr>
            </w:pPr>
            <w:r w:rsidRPr="005A2606">
              <w:rPr>
                <w:bCs/>
                <w:sz w:val="18"/>
                <w:szCs w:val="18"/>
              </w:rPr>
              <w:t>7227.90.10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4ADF79" w14:textId="77777777" w:rsidR="004D55DD" w:rsidRPr="005A2606" w:rsidRDefault="004D55DD" w:rsidP="005E341E">
            <w:pPr>
              <w:pStyle w:val="TextBody"/>
              <w:spacing w:before="40" w:after="40"/>
              <w:jc w:val="center"/>
              <w:rPr>
                <w:bCs/>
                <w:sz w:val="18"/>
                <w:szCs w:val="18"/>
              </w:rPr>
            </w:pPr>
            <w:r w:rsidRPr="005A2606">
              <w:rPr>
                <w:bCs/>
                <w:sz w:val="18"/>
                <w:szCs w:val="18"/>
              </w:rPr>
              <w:t>69</w:t>
            </w:r>
          </w:p>
        </w:tc>
        <w:tc>
          <w:tcPr>
            <w:tcW w:w="5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6BFC06" w14:textId="77777777" w:rsidR="004D55DD" w:rsidRPr="005A2606" w:rsidRDefault="004D55DD" w:rsidP="005E341E">
            <w:pPr>
              <w:pStyle w:val="TextBody"/>
              <w:spacing w:before="40" w:after="40"/>
              <w:rPr>
                <w:bCs/>
                <w:sz w:val="18"/>
                <w:szCs w:val="18"/>
              </w:rPr>
            </w:pPr>
            <w:r w:rsidRPr="005A2606">
              <w:rPr>
                <w:bCs/>
                <w:sz w:val="18"/>
                <w:szCs w:val="18"/>
              </w:rPr>
              <w:t xml:space="preserve">Bars and rods, hot-rolled, in irregularly wound coils, of high alloy steel in ‘flattened circles’ and ‘modified rectangles’ as defined in Note 1(l) to Chapter 72 of Schedule 3 to the </w:t>
            </w:r>
            <w:r w:rsidRPr="005A2606">
              <w:rPr>
                <w:bCs/>
                <w:i/>
                <w:iCs/>
                <w:sz w:val="18"/>
                <w:szCs w:val="18"/>
              </w:rPr>
              <w:t>Customs Tariff Act 1995</w:t>
            </w:r>
            <w:r w:rsidRPr="005A2606">
              <w:rPr>
                <w:bCs/>
                <w:sz w:val="18"/>
                <w:szCs w:val="18"/>
              </w:rPr>
              <w:t>.</w:t>
            </w:r>
          </w:p>
        </w:tc>
      </w:tr>
      <w:tr w:rsidR="004D55DD" w:rsidRPr="0033481A" w14:paraId="3D54FC54" w14:textId="77777777" w:rsidTr="00A15587">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C2E917" w14:textId="77777777" w:rsidR="004D55DD" w:rsidRPr="005A2606" w:rsidRDefault="004D55DD" w:rsidP="005E341E">
            <w:pPr>
              <w:pStyle w:val="TextBody"/>
              <w:spacing w:before="40" w:after="40"/>
              <w:jc w:val="center"/>
              <w:rPr>
                <w:bCs/>
                <w:sz w:val="18"/>
                <w:szCs w:val="18"/>
              </w:rPr>
            </w:pPr>
            <w:r w:rsidRPr="005A2606">
              <w:rPr>
                <w:bCs/>
                <w:sz w:val="18"/>
                <w:szCs w:val="18"/>
              </w:rPr>
              <w:t>7227.90.90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74FE15" w14:textId="77777777" w:rsidR="004D55DD" w:rsidRPr="005A2606" w:rsidRDefault="004D55DD" w:rsidP="005E341E">
            <w:pPr>
              <w:pStyle w:val="TextBody"/>
              <w:spacing w:before="40" w:after="40"/>
              <w:jc w:val="center"/>
              <w:rPr>
                <w:bCs/>
                <w:sz w:val="18"/>
                <w:szCs w:val="18"/>
              </w:rPr>
            </w:pPr>
            <w:r w:rsidRPr="005A2606">
              <w:rPr>
                <w:bCs/>
                <w:sz w:val="18"/>
                <w:szCs w:val="18"/>
              </w:rPr>
              <w:t>01</w:t>
            </w:r>
          </w:p>
        </w:tc>
        <w:tc>
          <w:tcPr>
            <w:tcW w:w="5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444698" w14:textId="77777777" w:rsidR="004D55DD" w:rsidRPr="005A2606" w:rsidRDefault="004D55DD" w:rsidP="005E341E">
            <w:pPr>
              <w:pStyle w:val="TextBody"/>
              <w:spacing w:before="40" w:after="40"/>
              <w:rPr>
                <w:bCs/>
                <w:sz w:val="18"/>
                <w:szCs w:val="18"/>
              </w:rPr>
            </w:pPr>
            <w:r w:rsidRPr="005A2606">
              <w:rPr>
                <w:bCs/>
                <w:sz w:val="18"/>
                <w:szCs w:val="18"/>
              </w:rPr>
              <w:t>Bars and rods, hot-rolled, in irregularly wound coils, of other alloy steel containing indentations, ribs, grooves or other deformations produced during the rolling process.</w:t>
            </w:r>
          </w:p>
        </w:tc>
      </w:tr>
      <w:tr w:rsidR="004D55DD" w:rsidRPr="0033481A" w14:paraId="44225F15" w14:textId="77777777" w:rsidTr="00A15587">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60E475" w14:textId="77777777" w:rsidR="004D55DD" w:rsidRPr="005A2606" w:rsidRDefault="004D55DD" w:rsidP="005E341E">
            <w:pPr>
              <w:pStyle w:val="TextBody"/>
              <w:spacing w:before="40" w:after="40"/>
              <w:jc w:val="center"/>
              <w:rPr>
                <w:bCs/>
                <w:sz w:val="18"/>
                <w:szCs w:val="18"/>
              </w:rPr>
            </w:pPr>
            <w:r w:rsidRPr="005A2606">
              <w:rPr>
                <w:bCs/>
                <w:sz w:val="18"/>
                <w:szCs w:val="18"/>
              </w:rPr>
              <w:t>7227.90.90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2909FD" w14:textId="77777777" w:rsidR="004D55DD" w:rsidRPr="005A2606" w:rsidRDefault="004D55DD" w:rsidP="005E341E">
            <w:pPr>
              <w:pStyle w:val="TextBody"/>
              <w:spacing w:before="40" w:after="40"/>
              <w:jc w:val="center"/>
              <w:rPr>
                <w:bCs/>
                <w:sz w:val="18"/>
                <w:szCs w:val="18"/>
              </w:rPr>
            </w:pPr>
            <w:r w:rsidRPr="005A2606">
              <w:rPr>
                <w:bCs/>
                <w:sz w:val="18"/>
                <w:szCs w:val="18"/>
              </w:rPr>
              <w:t>02</w:t>
            </w:r>
          </w:p>
        </w:tc>
        <w:tc>
          <w:tcPr>
            <w:tcW w:w="5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70EC34" w14:textId="77777777" w:rsidR="004D55DD" w:rsidRPr="005A2606" w:rsidRDefault="004D55DD" w:rsidP="005E341E">
            <w:pPr>
              <w:pStyle w:val="TextBody"/>
              <w:spacing w:before="40" w:after="40"/>
              <w:rPr>
                <w:bCs/>
                <w:sz w:val="18"/>
                <w:szCs w:val="18"/>
              </w:rPr>
            </w:pPr>
            <w:r w:rsidRPr="005A2606">
              <w:rPr>
                <w:bCs/>
                <w:sz w:val="18"/>
                <w:szCs w:val="18"/>
              </w:rPr>
              <w:t>Bars and rods, hot-rolled, in irregularly wound coils, of other alloy steel of circular cross-section measuring less than 14 mm in diameter.</w:t>
            </w:r>
          </w:p>
        </w:tc>
      </w:tr>
      <w:tr w:rsidR="004D55DD" w:rsidRPr="0033481A" w14:paraId="0060E21F" w14:textId="77777777" w:rsidTr="00A15587">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A67A73" w14:textId="77777777" w:rsidR="004D55DD" w:rsidRPr="005A2606" w:rsidRDefault="004D55DD" w:rsidP="005E341E">
            <w:pPr>
              <w:pStyle w:val="TextBody"/>
              <w:spacing w:before="40" w:after="40"/>
              <w:jc w:val="center"/>
              <w:rPr>
                <w:bCs/>
                <w:sz w:val="18"/>
                <w:szCs w:val="18"/>
              </w:rPr>
            </w:pPr>
            <w:r w:rsidRPr="005A2606">
              <w:rPr>
                <w:bCs/>
                <w:sz w:val="18"/>
                <w:szCs w:val="18"/>
              </w:rPr>
              <w:t>7227.90.90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B4751B" w14:textId="77777777" w:rsidR="004D55DD" w:rsidRPr="005A2606" w:rsidRDefault="004D55DD" w:rsidP="005E341E">
            <w:pPr>
              <w:pStyle w:val="TextBody"/>
              <w:spacing w:before="40" w:after="40"/>
              <w:jc w:val="center"/>
              <w:rPr>
                <w:bCs/>
                <w:sz w:val="18"/>
                <w:szCs w:val="18"/>
              </w:rPr>
            </w:pPr>
            <w:r w:rsidRPr="005A2606">
              <w:rPr>
                <w:bCs/>
                <w:sz w:val="18"/>
                <w:szCs w:val="18"/>
              </w:rPr>
              <w:t>04</w:t>
            </w:r>
          </w:p>
        </w:tc>
        <w:tc>
          <w:tcPr>
            <w:tcW w:w="5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FD52DE" w14:textId="77777777" w:rsidR="004D55DD" w:rsidRPr="005A2606" w:rsidRDefault="004D55DD" w:rsidP="005E341E">
            <w:pPr>
              <w:pStyle w:val="TextBody"/>
              <w:spacing w:before="40" w:after="40"/>
              <w:rPr>
                <w:bCs/>
                <w:sz w:val="18"/>
                <w:szCs w:val="18"/>
              </w:rPr>
            </w:pPr>
            <w:r w:rsidRPr="005A2606">
              <w:rPr>
                <w:bCs/>
                <w:sz w:val="18"/>
                <w:szCs w:val="18"/>
              </w:rPr>
              <w:t>Bars and rods, hot-rolled, in irregularly wound coils, of other alloy steel.</w:t>
            </w:r>
          </w:p>
        </w:tc>
      </w:tr>
      <w:tr w:rsidR="004D55DD" w:rsidRPr="00890D7F" w14:paraId="41DCCCA1" w14:textId="77777777" w:rsidTr="00A15587">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CF8014" w14:textId="77777777" w:rsidR="004D55DD" w:rsidRPr="005A2606" w:rsidRDefault="004D55DD" w:rsidP="005E341E">
            <w:pPr>
              <w:pStyle w:val="TextBody"/>
              <w:spacing w:before="40" w:after="40"/>
              <w:jc w:val="center"/>
              <w:rPr>
                <w:bCs/>
                <w:sz w:val="18"/>
                <w:szCs w:val="18"/>
              </w:rPr>
            </w:pPr>
            <w:r w:rsidRPr="005A2606">
              <w:rPr>
                <w:bCs/>
                <w:sz w:val="18"/>
                <w:szCs w:val="18"/>
              </w:rPr>
              <w:t>7228.30.10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71374F" w14:textId="77777777" w:rsidR="004D55DD" w:rsidRPr="005A2606" w:rsidRDefault="004D55DD" w:rsidP="005E341E">
            <w:pPr>
              <w:pStyle w:val="TextBody"/>
              <w:spacing w:before="40" w:after="40"/>
              <w:jc w:val="center"/>
              <w:rPr>
                <w:bCs/>
                <w:sz w:val="18"/>
                <w:szCs w:val="18"/>
              </w:rPr>
            </w:pPr>
            <w:r w:rsidRPr="005A2606">
              <w:rPr>
                <w:bCs/>
                <w:sz w:val="18"/>
                <w:szCs w:val="18"/>
              </w:rPr>
              <w:t>70</w:t>
            </w:r>
          </w:p>
        </w:tc>
        <w:tc>
          <w:tcPr>
            <w:tcW w:w="5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63DB31" w14:textId="77777777" w:rsidR="004D55DD" w:rsidRPr="005A2606" w:rsidRDefault="004D55DD" w:rsidP="005E341E">
            <w:pPr>
              <w:pStyle w:val="TextBody"/>
              <w:spacing w:before="40" w:after="40"/>
              <w:rPr>
                <w:bCs/>
                <w:sz w:val="18"/>
                <w:szCs w:val="18"/>
              </w:rPr>
            </w:pPr>
            <w:r w:rsidRPr="005A2606">
              <w:rPr>
                <w:bCs/>
                <w:sz w:val="18"/>
                <w:szCs w:val="18"/>
              </w:rPr>
              <w:t xml:space="preserve">Other bars and rods not further worked than hot-rolled, hot-drawn or extruded of high alloy steel in ‘flattened circles’ and ‘modified rectangles’ as defined in Note 1(m) to Chapter 72 of Schedule 3 to the </w:t>
            </w:r>
            <w:r w:rsidRPr="005A2606">
              <w:rPr>
                <w:bCs/>
                <w:i/>
                <w:iCs/>
                <w:sz w:val="18"/>
                <w:szCs w:val="18"/>
              </w:rPr>
              <w:t>Customs Tariff Act 1995</w:t>
            </w:r>
            <w:r w:rsidRPr="005A2606">
              <w:rPr>
                <w:bCs/>
                <w:sz w:val="18"/>
                <w:szCs w:val="18"/>
              </w:rPr>
              <w:t>.</w:t>
            </w:r>
          </w:p>
        </w:tc>
      </w:tr>
      <w:tr w:rsidR="004D55DD" w:rsidRPr="0033481A" w14:paraId="25627BD5" w14:textId="77777777" w:rsidTr="00A15587">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A310A2" w14:textId="77777777" w:rsidR="004D55DD" w:rsidRPr="005A2606" w:rsidRDefault="004D55DD" w:rsidP="005E341E">
            <w:pPr>
              <w:pStyle w:val="TextBody"/>
              <w:spacing w:before="40" w:after="40"/>
              <w:jc w:val="center"/>
              <w:rPr>
                <w:bCs/>
                <w:sz w:val="18"/>
                <w:szCs w:val="18"/>
              </w:rPr>
            </w:pPr>
            <w:r w:rsidRPr="005A2606">
              <w:rPr>
                <w:bCs/>
                <w:sz w:val="18"/>
                <w:szCs w:val="18"/>
              </w:rPr>
              <w:t>7228.30.90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C1F004" w14:textId="77777777" w:rsidR="004D55DD" w:rsidRPr="005A2606" w:rsidRDefault="004D55DD" w:rsidP="005E341E">
            <w:pPr>
              <w:pStyle w:val="TextBody"/>
              <w:spacing w:before="40" w:after="40"/>
              <w:jc w:val="center"/>
              <w:rPr>
                <w:bCs/>
                <w:sz w:val="18"/>
                <w:szCs w:val="18"/>
              </w:rPr>
            </w:pPr>
            <w:r w:rsidRPr="005A2606">
              <w:rPr>
                <w:bCs/>
                <w:sz w:val="18"/>
                <w:szCs w:val="18"/>
              </w:rPr>
              <w:t>40</w:t>
            </w:r>
          </w:p>
        </w:tc>
        <w:tc>
          <w:tcPr>
            <w:tcW w:w="5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21A924" w14:textId="77777777" w:rsidR="004D55DD" w:rsidRPr="005A2606" w:rsidRDefault="004D55DD" w:rsidP="005E341E">
            <w:pPr>
              <w:pStyle w:val="TextBody"/>
              <w:spacing w:before="40" w:after="40"/>
              <w:rPr>
                <w:bCs/>
                <w:sz w:val="18"/>
                <w:szCs w:val="18"/>
              </w:rPr>
            </w:pPr>
            <w:r w:rsidRPr="005A2606">
              <w:rPr>
                <w:bCs/>
                <w:sz w:val="18"/>
                <w:szCs w:val="18"/>
              </w:rPr>
              <w:t>Other bars and rods of other alloy steel containing indentations, ribs, grooves or other deformations produced during the rolling process.</w:t>
            </w:r>
          </w:p>
        </w:tc>
      </w:tr>
      <w:tr w:rsidR="004D55DD" w:rsidRPr="00890D7F" w14:paraId="768D9836" w14:textId="77777777" w:rsidTr="00A15587">
        <w:trPr>
          <w:jc w:val="center"/>
        </w:trPr>
        <w:tc>
          <w:tcPr>
            <w:tcW w:w="1701"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E35653B" w14:textId="77777777" w:rsidR="004D55DD" w:rsidRPr="005A2606" w:rsidRDefault="004D55DD" w:rsidP="005E341E">
            <w:pPr>
              <w:pStyle w:val="TextBody"/>
              <w:spacing w:before="40" w:after="40"/>
              <w:jc w:val="center"/>
              <w:rPr>
                <w:bCs/>
                <w:sz w:val="18"/>
                <w:szCs w:val="18"/>
              </w:rPr>
            </w:pPr>
            <w:r w:rsidRPr="005A2606">
              <w:rPr>
                <w:bCs/>
                <w:sz w:val="18"/>
                <w:szCs w:val="18"/>
              </w:rPr>
              <w:t>7228.60.10</w:t>
            </w:r>
          </w:p>
        </w:tc>
        <w:tc>
          <w:tcPr>
            <w:tcW w:w="1422"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17973E1" w14:textId="77777777" w:rsidR="004D55DD" w:rsidRPr="005A2606" w:rsidRDefault="004D55DD" w:rsidP="005E341E">
            <w:pPr>
              <w:pStyle w:val="TextBody"/>
              <w:spacing w:before="40" w:after="40"/>
              <w:jc w:val="center"/>
              <w:rPr>
                <w:bCs/>
                <w:sz w:val="18"/>
                <w:szCs w:val="18"/>
              </w:rPr>
            </w:pPr>
            <w:r w:rsidRPr="005A2606">
              <w:rPr>
                <w:bCs/>
                <w:sz w:val="18"/>
                <w:szCs w:val="18"/>
              </w:rPr>
              <w:t>72</w:t>
            </w:r>
          </w:p>
        </w:tc>
        <w:tc>
          <w:tcPr>
            <w:tcW w:w="5661"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5B5F6AB5" w14:textId="77777777" w:rsidR="004D55DD" w:rsidRPr="005A2606" w:rsidRDefault="004D55DD" w:rsidP="005E341E">
            <w:pPr>
              <w:pStyle w:val="TextBody"/>
              <w:spacing w:before="40" w:after="40"/>
              <w:rPr>
                <w:bCs/>
                <w:sz w:val="18"/>
                <w:szCs w:val="18"/>
              </w:rPr>
            </w:pPr>
            <w:r w:rsidRPr="005A2606">
              <w:rPr>
                <w:bCs/>
                <w:sz w:val="18"/>
                <w:szCs w:val="18"/>
              </w:rPr>
              <w:t xml:space="preserve">Other bars and rods of high alloy steel in ‘flattened circles’ and ‘modified rectangles’ as defined in Note 1(m) to Chapter 72 of Schedule 3 to the </w:t>
            </w:r>
            <w:r w:rsidRPr="005A2606">
              <w:rPr>
                <w:bCs/>
                <w:i/>
                <w:iCs/>
                <w:sz w:val="18"/>
                <w:szCs w:val="18"/>
              </w:rPr>
              <w:t>Customs Tariff Act 1995</w:t>
            </w:r>
            <w:r w:rsidRPr="005A2606">
              <w:rPr>
                <w:bCs/>
                <w:sz w:val="18"/>
                <w:szCs w:val="18"/>
              </w:rPr>
              <w:t>.</w:t>
            </w:r>
          </w:p>
        </w:tc>
      </w:tr>
    </w:tbl>
    <w:p w14:paraId="3115567D" w14:textId="77777777" w:rsidR="004D55DD" w:rsidRPr="00C01F98" w:rsidRDefault="004D55DD" w:rsidP="004D55DD">
      <w:pPr>
        <w:rPr>
          <w:snapToGrid w:val="0"/>
        </w:rPr>
      </w:pPr>
    </w:p>
    <w:p w14:paraId="1AA3D174" w14:textId="77777777" w:rsidR="004D55DD" w:rsidRDefault="004D55DD" w:rsidP="004D55DD">
      <w:pPr>
        <w:rPr>
          <w:snapToGrid w:val="0"/>
        </w:rPr>
      </w:pPr>
    </w:p>
    <w:p w14:paraId="530E92DC" w14:textId="0D671C03" w:rsidR="00A15587" w:rsidRDefault="00A15587">
      <w:pPr>
        <w:rPr>
          <w:snapToGrid w:val="0"/>
        </w:rPr>
      </w:pPr>
      <w:r>
        <w:rPr>
          <w:snapToGrid w:val="0"/>
        </w:rPr>
        <w:br w:type="page"/>
      </w:r>
    </w:p>
    <w:p w14:paraId="1564A070" w14:textId="77777777" w:rsidR="00732597" w:rsidRDefault="00732597" w:rsidP="00732597">
      <w:pPr>
        <w:rPr>
          <w:b/>
          <w:snapToGrid w:val="0"/>
        </w:rPr>
      </w:pPr>
      <w:r w:rsidRPr="00C01F98">
        <w:rPr>
          <w:b/>
          <w:snapToGrid w:val="0"/>
        </w:rPr>
        <w:lastRenderedPageBreak/>
        <w:t xml:space="preserve">Model Control </w:t>
      </w:r>
      <w:r>
        <w:rPr>
          <w:b/>
          <w:snapToGrid w:val="0"/>
        </w:rPr>
        <w:t>C</w:t>
      </w:r>
      <w:r w:rsidRPr="00C01F98">
        <w:rPr>
          <w:b/>
          <w:snapToGrid w:val="0"/>
        </w:rPr>
        <w:t>ode</w:t>
      </w:r>
    </w:p>
    <w:p w14:paraId="506BB304" w14:textId="77777777" w:rsidR="00732597" w:rsidRDefault="00732597" w:rsidP="00732597">
      <w:pPr>
        <w:rPr>
          <w:snapToGrid w:val="0"/>
        </w:rPr>
      </w:pPr>
    </w:p>
    <w:p w14:paraId="4EBF817C" w14:textId="77777777" w:rsidR="00732597" w:rsidRDefault="00732597" w:rsidP="00732597">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t xml:space="preserve"> to make and sell</w:t>
      </w:r>
      <w:r w:rsidRPr="00324501">
        <w:t xml:space="preserve"> data</w:t>
      </w:r>
      <w:r>
        <w:t xml:space="preserve"> (Section G-3, G-4 &amp; G-5)</w:t>
      </w:r>
      <w:r w:rsidRPr="00324501">
        <w:t xml:space="preserve"> submitted </w:t>
      </w:r>
      <w:r>
        <w:t>in this response</w:t>
      </w:r>
      <w:r w:rsidRPr="00324501">
        <w:t xml:space="preserve"> </w:t>
      </w:r>
      <w:r>
        <w:t xml:space="preserve">must </w:t>
      </w:r>
      <w:r w:rsidRPr="00324501">
        <w:t xml:space="preserve">follow </w:t>
      </w:r>
      <w:r>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w:t>
      </w:r>
      <w:r>
        <w:t>the commission</w:t>
      </w:r>
      <w:r w:rsidRPr="00324501">
        <w:t>.</w:t>
      </w:r>
    </w:p>
    <w:p w14:paraId="16D1A644" w14:textId="77777777" w:rsidR="00732597" w:rsidRDefault="00732597" w:rsidP="00732597"/>
    <w:tbl>
      <w:tblPr>
        <w:tblStyle w:val="TableGrid"/>
        <w:tblW w:w="8740" w:type="dxa"/>
        <w:jc w:val="center"/>
        <w:tblLayout w:type="fixed"/>
        <w:tblLook w:val="04A0" w:firstRow="1" w:lastRow="0" w:firstColumn="1" w:lastColumn="0" w:noHBand="0" w:noVBand="1"/>
      </w:tblPr>
      <w:tblGrid>
        <w:gridCol w:w="2263"/>
        <w:gridCol w:w="2835"/>
        <w:gridCol w:w="1139"/>
        <w:gridCol w:w="1276"/>
        <w:gridCol w:w="1227"/>
      </w:tblGrid>
      <w:tr w:rsidR="00732597" w:rsidRPr="00DF7DF0" w14:paraId="3F8F222F" w14:textId="77777777" w:rsidTr="005E341E">
        <w:trPr>
          <w:trHeight w:val="339"/>
          <w:jc w:val="center"/>
        </w:trPr>
        <w:tc>
          <w:tcPr>
            <w:tcW w:w="2263" w:type="dxa"/>
            <w:shd w:val="clear" w:color="auto" w:fill="A6A6A6" w:themeFill="background1" w:themeFillShade="A6"/>
          </w:tcPr>
          <w:p w14:paraId="03E44A89" w14:textId="77777777" w:rsidR="00732597" w:rsidRPr="00DF7DF0" w:rsidRDefault="00732597" w:rsidP="005E341E">
            <w:pPr>
              <w:spacing w:before="60" w:after="60"/>
              <w:rPr>
                <w:rFonts w:cs="Arial"/>
                <w:b/>
                <w:lang w:val="en-US"/>
              </w:rPr>
            </w:pPr>
            <w:r w:rsidRPr="00DF7DF0">
              <w:rPr>
                <w:rFonts w:cs="Arial"/>
                <w:b/>
                <w:lang w:val="en-US"/>
              </w:rPr>
              <w:t>Category</w:t>
            </w:r>
          </w:p>
        </w:tc>
        <w:tc>
          <w:tcPr>
            <w:tcW w:w="2835" w:type="dxa"/>
            <w:shd w:val="clear" w:color="auto" w:fill="A6A6A6" w:themeFill="background1" w:themeFillShade="A6"/>
          </w:tcPr>
          <w:p w14:paraId="680C165A" w14:textId="77777777" w:rsidR="00732597" w:rsidRPr="00DF7DF0" w:rsidRDefault="00732597" w:rsidP="005E341E">
            <w:pPr>
              <w:spacing w:before="60" w:after="60"/>
              <w:rPr>
                <w:rFonts w:cs="Arial"/>
                <w:b/>
                <w:lang w:val="en-US"/>
              </w:rPr>
            </w:pPr>
            <w:r w:rsidRPr="00DF7DF0">
              <w:rPr>
                <w:rFonts w:cs="Arial"/>
                <w:b/>
                <w:lang w:val="en-US"/>
              </w:rPr>
              <w:t>Sub-category</w:t>
            </w:r>
          </w:p>
        </w:tc>
        <w:tc>
          <w:tcPr>
            <w:tcW w:w="1139" w:type="dxa"/>
            <w:shd w:val="clear" w:color="auto" w:fill="A6A6A6" w:themeFill="background1" w:themeFillShade="A6"/>
            <w:vAlign w:val="center"/>
          </w:tcPr>
          <w:p w14:paraId="32C25775" w14:textId="77777777" w:rsidR="00732597" w:rsidRPr="00DF7DF0" w:rsidRDefault="00732597" w:rsidP="005E341E">
            <w:pPr>
              <w:spacing w:before="60" w:after="60"/>
              <w:jc w:val="center"/>
              <w:rPr>
                <w:rFonts w:cs="Arial"/>
                <w:b/>
                <w:lang w:val="en-US"/>
              </w:rPr>
            </w:pPr>
            <w:r w:rsidRPr="00DF7DF0">
              <w:rPr>
                <w:rFonts w:cs="Arial"/>
                <w:b/>
                <w:lang w:val="en-US"/>
              </w:rPr>
              <w:t>Identifier</w:t>
            </w:r>
          </w:p>
        </w:tc>
        <w:tc>
          <w:tcPr>
            <w:tcW w:w="1276" w:type="dxa"/>
            <w:shd w:val="clear" w:color="auto" w:fill="A6A6A6" w:themeFill="background1" w:themeFillShade="A6"/>
            <w:vAlign w:val="center"/>
          </w:tcPr>
          <w:p w14:paraId="64A1F865" w14:textId="77777777" w:rsidR="00732597" w:rsidRPr="00DF7DF0" w:rsidRDefault="00732597" w:rsidP="005E341E">
            <w:pPr>
              <w:spacing w:before="60" w:after="60"/>
              <w:jc w:val="center"/>
              <w:rPr>
                <w:rFonts w:cs="Arial"/>
                <w:b/>
                <w:lang w:val="en-US"/>
              </w:rPr>
            </w:pPr>
            <w:r w:rsidRPr="00DF7DF0">
              <w:rPr>
                <w:rFonts w:cs="Arial"/>
                <w:b/>
                <w:lang w:val="en-US"/>
              </w:rPr>
              <w:t>Sales data</w:t>
            </w:r>
          </w:p>
        </w:tc>
        <w:tc>
          <w:tcPr>
            <w:tcW w:w="1227" w:type="dxa"/>
            <w:shd w:val="clear" w:color="auto" w:fill="A6A6A6" w:themeFill="background1" w:themeFillShade="A6"/>
            <w:vAlign w:val="center"/>
          </w:tcPr>
          <w:p w14:paraId="34C3332D" w14:textId="77777777" w:rsidR="00732597" w:rsidRPr="00DF7DF0" w:rsidRDefault="00732597" w:rsidP="005E341E">
            <w:pPr>
              <w:spacing w:before="60" w:after="60"/>
              <w:jc w:val="center"/>
              <w:rPr>
                <w:rFonts w:cs="Arial"/>
                <w:b/>
                <w:lang w:val="en-US"/>
              </w:rPr>
            </w:pPr>
            <w:r w:rsidRPr="00DF7DF0">
              <w:rPr>
                <w:rFonts w:cs="Arial"/>
                <w:b/>
                <w:lang w:val="en-US"/>
              </w:rPr>
              <w:t>Cost data</w:t>
            </w:r>
          </w:p>
        </w:tc>
      </w:tr>
      <w:tr w:rsidR="00732597" w:rsidRPr="00DF7DF0" w14:paraId="5C9E6A50" w14:textId="77777777" w:rsidTr="005E341E">
        <w:trPr>
          <w:trHeight w:val="339"/>
          <w:jc w:val="center"/>
        </w:trPr>
        <w:tc>
          <w:tcPr>
            <w:tcW w:w="2263" w:type="dxa"/>
            <w:vMerge w:val="restart"/>
            <w:vAlign w:val="center"/>
          </w:tcPr>
          <w:p w14:paraId="711F40EF" w14:textId="77777777" w:rsidR="00732597" w:rsidRPr="00DF7DF0" w:rsidRDefault="00732597" w:rsidP="005E341E">
            <w:pPr>
              <w:spacing w:before="60" w:after="60"/>
              <w:rPr>
                <w:rFonts w:cs="Arial"/>
                <w:lang w:val="en-US"/>
              </w:rPr>
            </w:pPr>
            <w:r>
              <w:rPr>
                <w:rFonts w:cs="Arial"/>
                <w:lang w:val="en-US"/>
              </w:rPr>
              <w:t>Prime</w:t>
            </w:r>
          </w:p>
        </w:tc>
        <w:tc>
          <w:tcPr>
            <w:tcW w:w="2835" w:type="dxa"/>
          </w:tcPr>
          <w:p w14:paraId="570B0530" w14:textId="77777777" w:rsidR="00732597" w:rsidRPr="00DF7DF0" w:rsidRDefault="00732597" w:rsidP="005E341E">
            <w:pPr>
              <w:spacing w:before="60" w:after="60"/>
              <w:rPr>
                <w:rFonts w:cs="Arial"/>
                <w:lang w:val="en-US"/>
              </w:rPr>
            </w:pPr>
            <w:r>
              <w:rPr>
                <w:rFonts w:cs="Arial"/>
                <w:lang w:val="en-US"/>
              </w:rPr>
              <w:t>Prime</w:t>
            </w:r>
          </w:p>
        </w:tc>
        <w:tc>
          <w:tcPr>
            <w:tcW w:w="1139" w:type="dxa"/>
            <w:vAlign w:val="center"/>
          </w:tcPr>
          <w:p w14:paraId="5CD2DFB9" w14:textId="77777777" w:rsidR="00732597" w:rsidRPr="00DF7DF0" w:rsidRDefault="00732597" w:rsidP="005E341E">
            <w:pPr>
              <w:spacing w:before="60" w:after="60"/>
              <w:jc w:val="center"/>
              <w:rPr>
                <w:rFonts w:cs="Arial"/>
                <w:lang w:val="en-US"/>
              </w:rPr>
            </w:pPr>
            <w:r>
              <w:rPr>
                <w:rFonts w:cs="Arial"/>
                <w:lang w:val="en-US"/>
              </w:rPr>
              <w:t>P</w:t>
            </w:r>
          </w:p>
        </w:tc>
        <w:tc>
          <w:tcPr>
            <w:tcW w:w="1276" w:type="dxa"/>
            <w:vMerge w:val="restart"/>
            <w:vAlign w:val="center"/>
          </w:tcPr>
          <w:p w14:paraId="20DD9B85" w14:textId="77777777" w:rsidR="00732597" w:rsidRPr="00DF7DF0" w:rsidRDefault="00732597" w:rsidP="005E341E">
            <w:pPr>
              <w:spacing w:before="60" w:after="60"/>
              <w:jc w:val="center"/>
              <w:rPr>
                <w:rFonts w:cs="Arial"/>
                <w:lang w:val="en-US"/>
              </w:rPr>
            </w:pPr>
            <w:r>
              <w:rPr>
                <w:rFonts w:cs="Arial"/>
                <w:lang w:val="en-US"/>
              </w:rPr>
              <w:t>Mandatory</w:t>
            </w:r>
          </w:p>
        </w:tc>
        <w:tc>
          <w:tcPr>
            <w:tcW w:w="1227" w:type="dxa"/>
            <w:vMerge w:val="restart"/>
            <w:vAlign w:val="center"/>
          </w:tcPr>
          <w:p w14:paraId="70A3F296" w14:textId="77777777" w:rsidR="00732597" w:rsidRPr="00DF7DF0" w:rsidRDefault="00732597" w:rsidP="005E341E">
            <w:pPr>
              <w:spacing w:before="60" w:after="60"/>
              <w:jc w:val="center"/>
              <w:rPr>
                <w:rFonts w:cs="Arial"/>
                <w:lang w:val="en-US"/>
              </w:rPr>
            </w:pPr>
            <w:r>
              <w:rPr>
                <w:rFonts w:cs="Arial"/>
                <w:lang w:val="en-US"/>
              </w:rPr>
              <w:t>Mandatory</w:t>
            </w:r>
          </w:p>
        </w:tc>
      </w:tr>
      <w:tr w:rsidR="00732597" w:rsidRPr="00DF7DF0" w14:paraId="31764F07" w14:textId="77777777" w:rsidTr="005E341E">
        <w:trPr>
          <w:trHeight w:val="339"/>
          <w:jc w:val="center"/>
        </w:trPr>
        <w:tc>
          <w:tcPr>
            <w:tcW w:w="2263" w:type="dxa"/>
            <w:vMerge/>
            <w:vAlign w:val="center"/>
          </w:tcPr>
          <w:p w14:paraId="446168C9" w14:textId="77777777" w:rsidR="00732597" w:rsidRPr="00DF7DF0" w:rsidRDefault="00732597" w:rsidP="005E341E">
            <w:pPr>
              <w:spacing w:before="60" w:after="60"/>
              <w:rPr>
                <w:rFonts w:cs="Arial"/>
                <w:lang w:val="en-US"/>
              </w:rPr>
            </w:pPr>
          </w:p>
        </w:tc>
        <w:tc>
          <w:tcPr>
            <w:tcW w:w="2835" w:type="dxa"/>
          </w:tcPr>
          <w:p w14:paraId="67FDCC2C" w14:textId="77777777" w:rsidR="00732597" w:rsidRPr="00DF7DF0" w:rsidRDefault="00732597" w:rsidP="005E341E">
            <w:pPr>
              <w:spacing w:before="60" w:after="60"/>
              <w:rPr>
                <w:rFonts w:cs="Arial"/>
                <w:lang w:val="en-US"/>
              </w:rPr>
            </w:pPr>
            <w:r>
              <w:rPr>
                <w:rFonts w:cs="Arial"/>
                <w:lang w:val="en-US"/>
              </w:rPr>
              <w:t>Non-prime</w:t>
            </w:r>
          </w:p>
        </w:tc>
        <w:tc>
          <w:tcPr>
            <w:tcW w:w="1139" w:type="dxa"/>
            <w:vAlign w:val="center"/>
          </w:tcPr>
          <w:p w14:paraId="0E8E9612" w14:textId="77777777" w:rsidR="00732597" w:rsidRPr="00DF7DF0" w:rsidRDefault="00732597" w:rsidP="005E341E">
            <w:pPr>
              <w:spacing w:before="60" w:after="60"/>
              <w:jc w:val="center"/>
              <w:rPr>
                <w:rFonts w:cs="Arial"/>
                <w:lang w:val="en-US"/>
              </w:rPr>
            </w:pPr>
            <w:r>
              <w:rPr>
                <w:rFonts w:cs="Arial"/>
                <w:lang w:val="en-US"/>
              </w:rPr>
              <w:t>N</w:t>
            </w:r>
          </w:p>
        </w:tc>
        <w:tc>
          <w:tcPr>
            <w:tcW w:w="1276" w:type="dxa"/>
            <w:vMerge/>
            <w:vAlign w:val="center"/>
          </w:tcPr>
          <w:p w14:paraId="0F1FDB1A" w14:textId="77777777" w:rsidR="00732597" w:rsidRPr="00DF7DF0" w:rsidRDefault="00732597" w:rsidP="005E341E">
            <w:pPr>
              <w:spacing w:before="60" w:after="60"/>
              <w:jc w:val="center"/>
              <w:rPr>
                <w:rFonts w:cs="Arial"/>
                <w:lang w:val="en-US"/>
              </w:rPr>
            </w:pPr>
          </w:p>
        </w:tc>
        <w:tc>
          <w:tcPr>
            <w:tcW w:w="1227" w:type="dxa"/>
            <w:vMerge/>
            <w:vAlign w:val="center"/>
          </w:tcPr>
          <w:p w14:paraId="54252E84" w14:textId="77777777" w:rsidR="00732597" w:rsidRPr="00DF7DF0" w:rsidRDefault="00732597" w:rsidP="005E341E">
            <w:pPr>
              <w:spacing w:before="60" w:after="60"/>
              <w:jc w:val="center"/>
              <w:rPr>
                <w:rFonts w:cs="Arial"/>
                <w:lang w:val="en-US"/>
              </w:rPr>
            </w:pPr>
          </w:p>
        </w:tc>
      </w:tr>
      <w:tr w:rsidR="00732597" w:rsidRPr="00DF7DF0" w14:paraId="47B1B913" w14:textId="77777777" w:rsidTr="005E341E">
        <w:trPr>
          <w:trHeight w:val="339"/>
          <w:jc w:val="center"/>
        </w:trPr>
        <w:tc>
          <w:tcPr>
            <w:tcW w:w="2263" w:type="dxa"/>
            <w:vMerge w:val="restart"/>
            <w:vAlign w:val="center"/>
          </w:tcPr>
          <w:p w14:paraId="22C2878D" w14:textId="77777777" w:rsidR="00732597" w:rsidRPr="00DF7DF0" w:rsidRDefault="00732597" w:rsidP="005E341E">
            <w:pPr>
              <w:spacing w:before="60" w:after="60"/>
              <w:rPr>
                <w:rFonts w:cs="Arial"/>
                <w:lang w:val="en-US"/>
              </w:rPr>
            </w:pPr>
            <w:r>
              <w:rPr>
                <w:rFonts w:cs="Arial"/>
                <w:lang w:val="en-US"/>
              </w:rPr>
              <w:t>Minimum yield strength specified by product standard</w:t>
            </w:r>
            <w:r>
              <w:rPr>
                <w:rFonts w:cs="Arial"/>
                <w:lang w:val="en-US"/>
              </w:rPr>
              <w:br/>
              <w:t>(in megapascals or “MPa”)</w:t>
            </w:r>
          </w:p>
        </w:tc>
        <w:tc>
          <w:tcPr>
            <w:tcW w:w="2835" w:type="dxa"/>
          </w:tcPr>
          <w:p w14:paraId="1BD6F50E" w14:textId="77777777" w:rsidR="00732597" w:rsidRPr="00DF7DF0" w:rsidRDefault="00732597" w:rsidP="005E341E">
            <w:pPr>
              <w:spacing w:before="60" w:after="60"/>
              <w:rPr>
                <w:rFonts w:cs="Arial"/>
                <w:lang w:val="en-US"/>
              </w:rPr>
            </w:pPr>
            <w:r>
              <w:rPr>
                <w:rFonts w:cs="Arial"/>
                <w:lang w:val="en-US"/>
              </w:rPr>
              <w:t xml:space="preserve">Less than or equal to </w:t>
            </w:r>
            <w:r>
              <w:rPr>
                <w:rFonts w:cs="Arial"/>
                <w:lang w:val="en-US"/>
              </w:rPr>
              <w:br/>
              <w:t>300 MPa</w:t>
            </w:r>
          </w:p>
        </w:tc>
        <w:tc>
          <w:tcPr>
            <w:tcW w:w="1139" w:type="dxa"/>
            <w:vAlign w:val="center"/>
          </w:tcPr>
          <w:p w14:paraId="2083E2D8" w14:textId="77777777" w:rsidR="00732597" w:rsidRPr="00DF7DF0" w:rsidRDefault="00732597" w:rsidP="005E341E">
            <w:pPr>
              <w:spacing w:before="60" w:after="60"/>
              <w:jc w:val="center"/>
              <w:rPr>
                <w:rFonts w:cs="Arial"/>
                <w:lang w:val="en-US"/>
              </w:rPr>
            </w:pPr>
            <w:r>
              <w:rPr>
                <w:rFonts w:cs="Arial"/>
                <w:lang w:val="en-US"/>
              </w:rPr>
              <w:t>A</w:t>
            </w:r>
          </w:p>
        </w:tc>
        <w:tc>
          <w:tcPr>
            <w:tcW w:w="1276" w:type="dxa"/>
            <w:vMerge w:val="restart"/>
            <w:vAlign w:val="center"/>
          </w:tcPr>
          <w:p w14:paraId="7EA23A41" w14:textId="77777777" w:rsidR="00732597" w:rsidRPr="00DF7DF0" w:rsidRDefault="00732597" w:rsidP="005E341E">
            <w:pPr>
              <w:spacing w:before="60" w:after="60"/>
              <w:jc w:val="center"/>
              <w:rPr>
                <w:rFonts w:cs="Arial"/>
                <w:lang w:val="en-US"/>
              </w:rPr>
            </w:pPr>
            <w:r>
              <w:rPr>
                <w:rFonts w:cs="Arial"/>
                <w:lang w:val="en-US"/>
              </w:rPr>
              <w:t>Mandatory</w:t>
            </w:r>
          </w:p>
        </w:tc>
        <w:tc>
          <w:tcPr>
            <w:tcW w:w="1227" w:type="dxa"/>
            <w:vMerge w:val="restart"/>
            <w:vAlign w:val="center"/>
          </w:tcPr>
          <w:p w14:paraId="30A1BBE3" w14:textId="77777777" w:rsidR="00732597" w:rsidRPr="00DF7DF0" w:rsidRDefault="00732597" w:rsidP="005E341E">
            <w:pPr>
              <w:spacing w:before="60" w:after="60"/>
              <w:jc w:val="center"/>
              <w:rPr>
                <w:rFonts w:cs="Arial"/>
                <w:lang w:val="en-US"/>
              </w:rPr>
            </w:pPr>
            <w:r>
              <w:rPr>
                <w:rFonts w:cs="Arial"/>
                <w:lang w:val="en-US"/>
              </w:rPr>
              <w:t>Mandatory</w:t>
            </w:r>
          </w:p>
        </w:tc>
      </w:tr>
      <w:tr w:rsidR="00732597" w:rsidRPr="00DF7DF0" w14:paraId="24A2CB29" w14:textId="77777777" w:rsidTr="005E341E">
        <w:trPr>
          <w:trHeight w:val="339"/>
          <w:jc w:val="center"/>
        </w:trPr>
        <w:tc>
          <w:tcPr>
            <w:tcW w:w="2263" w:type="dxa"/>
            <w:vMerge/>
            <w:vAlign w:val="center"/>
          </w:tcPr>
          <w:p w14:paraId="0815DDEE" w14:textId="77777777" w:rsidR="00732597" w:rsidRPr="00DF7DF0" w:rsidRDefault="00732597" w:rsidP="005E341E">
            <w:pPr>
              <w:spacing w:before="60" w:after="60"/>
              <w:rPr>
                <w:rFonts w:cs="Arial"/>
                <w:lang w:val="en-US"/>
              </w:rPr>
            </w:pPr>
          </w:p>
        </w:tc>
        <w:tc>
          <w:tcPr>
            <w:tcW w:w="2835" w:type="dxa"/>
          </w:tcPr>
          <w:p w14:paraId="49EFA6A3" w14:textId="77777777" w:rsidR="00732597" w:rsidRPr="00DF7DF0" w:rsidRDefault="00732597" w:rsidP="005E341E">
            <w:pPr>
              <w:spacing w:before="60" w:after="60"/>
              <w:rPr>
                <w:rFonts w:cs="Arial"/>
                <w:lang w:val="en-US"/>
              </w:rPr>
            </w:pPr>
            <w:r>
              <w:rPr>
                <w:rFonts w:cs="Arial"/>
                <w:lang w:val="en-US"/>
              </w:rPr>
              <w:t xml:space="preserve">Greater than 300 MPa and less than or equal to </w:t>
            </w:r>
            <w:r>
              <w:rPr>
                <w:rFonts w:cs="Arial"/>
                <w:lang w:val="en-US"/>
              </w:rPr>
              <w:br/>
              <w:t>480 MPa</w:t>
            </w:r>
          </w:p>
        </w:tc>
        <w:tc>
          <w:tcPr>
            <w:tcW w:w="1139" w:type="dxa"/>
            <w:vAlign w:val="center"/>
          </w:tcPr>
          <w:p w14:paraId="09D89761" w14:textId="77777777" w:rsidR="00732597" w:rsidRPr="00DF7DF0" w:rsidRDefault="00732597" w:rsidP="005E341E">
            <w:pPr>
              <w:spacing w:before="60" w:after="60"/>
              <w:jc w:val="center"/>
              <w:rPr>
                <w:rFonts w:cs="Arial"/>
                <w:lang w:val="en-US"/>
              </w:rPr>
            </w:pPr>
            <w:r>
              <w:rPr>
                <w:rFonts w:cs="Arial"/>
                <w:lang w:val="en-US"/>
              </w:rPr>
              <w:t>B</w:t>
            </w:r>
          </w:p>
        </w:tc>
        <w:tc>
          <w:tcPr>
            <w:tcW w:w="1276" w:type="dxa"/>
            <w:vMerge/>
            <w:vAlign w:val="center"/>
          </w:tcPr>
          <w:p w14:paraId="553427BF" w14:textId="77777777" w:rsidR="00732597" w:rsidRPr="00DF7DF0" w:rsidRDefault="00732597" w:rsidP="005E341E">
            <w:pPr>
              <w:spacing w:before="60" w:after="60"/>
              <w:jc w:val="center"/>
              <w:rPr>
                <w:rFonts w:cs="Arial"/>
                <w:lang w:val="en-US"/>
              </w:rPr>
            </w:pPr>
          </w:p>
        </w:tc>
        <w:tc>
          <w:tcPr>
            <w:tcW w:w="1227" w:type="dxa"/>
            <w:vMerge/>
            <w:vAlign w:val="center"/>
          </w:tcPr>
          <w:p w14:paraId="4CE5BD7A" w14:textId="77777777" w:rsidR="00732597" w:rsidRPr="00DF7DF0" w:rsidRDefault="00732597" w:rsidP="005E341E">
            <w:pPr>
              <w:spacing w:before="60" w:after="60"/>
              <w:jc w:val="center"/>
              <w:rPr>
                <w:rFonts w:cs="Arial"/>
                <w:lang w:val="en-US"/>
              </w:rPr>
            </w:pPr>
          </w:p>
        </w:tc>
      </w:tr>
      <w:tr w:rsidR="00732597" w:rsidRPr="00DF7DF0" w14:paraId="3D172F40" w14:textId="77777777" w:rsidTr="005E341E">
        <w:trPr>
          <w:trHeight w:val="339"/>
          <w:jc w:val="center"/>
        </w:trPr>
        <w:tc>
          <w:tcPr>
            <w:tcW w:w="2263" w:type="dxa"/>
            <w:vMerge/>
            <w:vAlign w:val="center"/>
          </w:tcPr>
          <w:p w14:paraId="1458B592" w14:textId="77777777" w:rsidR="00732597" w:rsidRPr="00DF7DF0" w:rsidRDefault="00732597" w:rsidP="005E341E">
            <w:pPr>
              <w:spacing w:before="60" w:after="60"/>
              <w:rPr>
                <w:rFonts w:cs="Arial"/>
                <w:lang w:val="en-US"/>
              </w:rPr>
            </w:pPr>
          </w:p>
        </w:tc>
        <w:tc>
          <w:tcPr>
            <w:tcW w:w="2835" w:type="dxa"/>
          </w:tcPr>
          <w:p w14:paraId="2A3A5511" w14:textId="77777777" w:rsidR="00732597" w:rsidRPr="00DF7DF0" w:rsidRDefault="00732597" w:rsidP="005E341E">
            <w:pPr>
              <w:spacing w:before="60" w:after="60"/>
              <w:rPr>
                <w:rFonts w:cs="Arial"/>
                <w:lang w:val="en-US"/>
              </w:rPr>
            </w:pPr>
            <w:r>
              <w:rPr>
                <w:rFonts w:cs="Arial"/>
                <w:lang w:val="en-US"/>
              </w:rPr>
              <w:t>Greater than 480 MPa and less than 550 MPa</w:t>
            </w:r>
          </w:p>
        </w:tc>
        <w:tc>
          <w:tcPr>
            <w:tcW w:w="1139" w:type="dxa"/>
            <w:vAlign w:val="center"/>
          </w:tcPr>
          <w:p w14:paraId="1ADE3B67" w14:textId="77777777" w:rsidR="00732597" w:rsidRPr="00DF7DF0" w:rsidRDefault="00732597" w:rsidP="005E341E">
            <w:pPr>
              <w:spacing w:before="60" w:after="60"/>
              <w:jc w:val="center"/>
              <w:rPr>
                <w:rFonts w:cs="Arial"/>
                <w:lang w:val="en-US"/>
              </w:rPr>
            </w:pPr>
            <w:r>
              <w:rPr>
                <w:rFonts w:cs="Arial"/>
                <w:lang w:val="en-US"/>
              </w:rPr>
              <w:t>C</w:t>
            </w:r>
          </w:p>
        </w:tc>
        <w:tc>
          <w:tcPr>
            <w:tcW w:w="1276" w:type="dxa"/>
            <w:vMerge/>
            <w:vAlign w:val="center"/>
          </w:tcPr>
          <w:p w14:paraId="5A99AA2B" w14:textId="77777777" w:rsidR="00732597" w:rsidRPr="00DF7DF0" w:rsidRDefault="00732597" w:rsidP="005E341E">
            <w:pPr>
              <w:spacing w:before="60" w:after="60"/>
              <w:jc w:val="center"/>
              <w:rPr>
                <w:rFonts w:cs="Arial"/>
                <w:lang w:val="en-US"/>
              </w:rPr>
            </w:pPr>
          </w:p>
        </w:tc>
        <w:tc>
          <w:tcPr>
            <w:tcW w:w="1227" w:type="dxa"/>
            <w:vMerge/>
            <w:vAlign w:val="center"/>
          </w:tcPr>
          <w:p w14:paraId="542225F6" w14:textId="77777777" w:rsidR="00732597" w:rsidRPr="00DF7DF0" w:rsidRDefault="00732597" w:rsidP="005E341E">
            <w:pPr>
              <w:spacing w:before="60" w:after="60"/>
              <w:jc w:val="center"/>
              <w:rPr>
                <w:rFonts w:cs="Arial"/>
                <w:lang w:val="en-US"/>
              </w:rPr>
            </w:pPr>
          </w:p>
        </w:tc>
      </w:tr>
      <w:tr w:rsidR="00732597" w:rsidRPr="00DF7DF0" w14:paraId="21784798" w14:textId="77777777" w:rsidTr="005E341E">
        <w:trPr>
          <w:trHeight w:val="339"/>
          <w:jc w:val="center"/>
        </w:trPr>
        <w:tc>
          <w:tcPr>
            <w:tcW w:w="2263" w:type="dxa"/>
            <w:vMerge/>
            <w:vAlign w:val="center"/>
          </w:tcPr>
          <w:p w14:paraId="3D7C7EC5" w14:textId="77777777" w:rsidR="00732597" w:rsidRPr="00DF7DF0" w:rsidRDefault="00732597" w:rsidP="005E341E">
            <w:pPr>
              <w:spacing w:before="60" w:after="60"/>
              <w:rPr>
                <w:rFonts w:cs="Arial"/>
                <w:lang w:val="en-US"/>
              </w:rPr>
            </w:pPr>
          </w:p>
        </w:tc>
        <w:tc>
          <w:tcPr>
            <w:tcW w:w="2835" w:type="dxa"/>
          </w:tcPr>
          <w:p w14:paraId="6C182135" w14:textId="77777777" w:rsidR="00732597" w:rsidRPr="00DF7DF0" w:rsidRDefault="00732597" w:rsidP="005E341E">
            <w:pPr>
              <w:spacing w:before="60" w:after="60"/>
              <w:rPr>
                <w:rFonts w:cs="Arial"/>
                <w:lang w:val="en-US"/>
              </w:rPr>
            </w:pPr>
            <w:r>
              <w:rPr>
                <w:rFonts w:cs="Arial"/>
                <w:lang w:val="en-US"/>
              </w:rPr>
              <w:t xml:space="preserve">Greater than or equal to </w:t>
            </w:r>
            <w:r>
              <w:rPr>
                <w:rFonts w:cs="Arial"/>
                <w:lang w:val="en-US"/>
              </w:rPr>
              <w:br/>
              <w:t>550 MPa</w:t>
            </w:r>
          </w:p>
        </w:tc>
        <w:tc>
          <w:tcPr>
            <w:tcW w:w="1139" w:type="dxa"/>
            <w:vAlign w:val="center"/>
          </w:tcPr>
          <w:p w14:paraId="74BEDFB1" w14:textId="77777777" w:rsidR="00732597" w:rsidRPr="00DF7DF0" w:rsidRDefault="00732597" w:rsidP="005E341E">
            <w:pPr>
              <w:spacing w:before="60" w:after="60"/>
              <w:jc w:val="center"/>
              <w:rPr>
                <w:rFonts w:cs="Arial"/>
                <w:lang w:val="en-US"/>
              </w:rPr>
            </w:pPr>
            <w:r>
              <w:rPr>
                <w:rFonts w:cs="Arial"/>
                <w:lang w:val="en-US"/>
              </w:rPr>
              <w:t>D</w:t>
            </w:r>
          </w:p>
        </w:tc>
        <w:tc>
          <w:tcPr>
            <w:tcW w:w="1276" w:type="dxa"/>
            <w:vMerge/>
            <w:vAlign w:val="center"/>
          </w:tcPr>
          <w:p w14:paraId="599889CD" w14:textId="77777777" w:rsidR="00732597" w:rsidRPr="00DF7DF0" w:rsidRDefault="00732597" w:rsidP="005E341E">
            <w:pPr>
              <w:spacing w:before="60" w:after="60"/>
              <w:jc w:val="center"/>
              <w:rPr>
                <w:rFonts w:cs="Arial"/>
                <w:lang w:val="en-US"/>
              </w:rPr>
            </w:pPr>
          </w:p>
        </w:tc>
        <w:tc>
          <w:tcPr>
            <w:tcW w:w="1227" w:type="dxa"/>
            <w:vMerge/>
            <w:vAlign w:val="center"/>
          </w:tcPr>
          <w:p w14:paraId="4BEB6B18" w14:textId="77777777" w:rsidR="00732597" w:rsidRPr="00DF7DF0" w:rsidRDefault="00732597" w:rsidP="005E341E">
            <w:pPr>
              <w:spacing w:before="60" w:after="60"/>
              <w:jc w:val="center"/>
              <w:rPr>
                <w:rFonts w:cs="Arial"/>
                <w:lang w:val="en-US"/>
              </w:rPr>
            </w:pPr>
          </w:p>
        </w:tc>
      </w:tr>
      <w:tr w:rsidR="00732597" w:rsidRPr="00DF7DF0" w14:paraId="145A5AAC" w14:textId="77777777" w:rsidTr="005E341E">
        <w:trPr>
          <w:trHeight w:val="339"/>
          <w:jc w:val="center"/>
        </w:trPr>
        <w:tc>
          <w:tcPr>
            <w:tcW w:w="2263" w:type="dxa"/>
            <w:vMerge w:val="restart"/>
            <w:vAlign w:val="center"/>
          </w:tcPr>
          <w:p w14:paraId="1E5F5DD3" w14:textId="77777777" w:rsidR="00732597" w:rsidRPr="00DF7DF0" w:rsidRDefault="00732597" w:rsidP="005E341E">
            <w:pPr>
              <w:spacing w:before="60" w:after="60"/>
              <w:rPr>
                <w:rFonts w:cs="Arial"/>
                <w:lang w:val="en-US"/>
              </w:rPr>
            </w:pPr>
            <w:r>
              <w:rPr>
                <w:rFonts w:cs="Arial"/>
                <w:lang w:val="en-US"/>
              </w:rPr>
              <w:t>Finished form</w:t>
            </w:r>
          </w:p>
        </w:tc>
        <w:tc>
          <w:tcPr>
            <w:tcW w:w="2835" w:type="dxa"/>
          </w:tcPr>
          <w:p w14:paraId="4B9F25B1" w14:textId="77777777" w:rsidR="00732597" w:rsidRPr="00DF7DF0" w:rsidRDefault="00732597" w:rsidP="005E341E">
            <w:pPr>
              <w:spacing w:before="60" w:after="60"/>
              <w:rPr>
                <w:rFonts w:cs="Arial"/>
                <w:lang w:val="en-US"/>
              </w:rPr>
            </w:pPr>
            <w:r>
              <w:rPr>
                <w:rFonts w:cs="Arial"/>
                <w:lang w:val="en-US"/>
              </w:rPr>
              <w:t>Length or straight</w:t>
            </w:r>
          </w:p>
        </w:tc>
        <w:tc>
          <w:tcPr>
            <w:tcW w:w="1139" w:type="dxa"/>
            <w:vAlign w:val="center"/>
          </w:tcPr>
          <w:p w14:paraId="3375E06D" w14:textId="77777777" w:rsidR="00732597" w:rsidRPr="00DF7DF0" w:rsidRDefault="00732597" w:rsidP="005E341E">
            <w:pPr>
              <w:spacing w:before="60" w:after="60"/>
              <w:jc w:val="center"/>
              <w:rPr>
                <w:rFonts w:cs="Arial"/>
                <w:lang w:val="en-US"/>
              </w:rPr>
            </w:pPr>
            <w:r>
              <w:rPr>
                <w:rFonts w:cs="Arial"/>
                <w:lang w:val="en-US"/>
              </w:rPr>
              <w:t>S</w:t>
            </w:r>
          </w:p>
        </w:tc>
        <w:tc>
          <w:tcPr>
            <w:tcW w:w="1276" w:type="dxa"/>
            <w:vMerge w:val="restart"/>
            <w:vAlign w:val="center"/>
          </w:tcPr>
          <w:p w14:paraId="4C2F895E" w14:textId="77777777" w:rsidR="00732597" w:rsidRPr="00DF7DF0" w:rsidRDefault="00732597" w:rsidP="005E341E">
            <w:pPr>
              <w:spacing w:before="60" w:after="60"/>
              <w:jc w:val="center"/>
              <w:rPr>
                <w:rFonts w:cs="Arial"/>
                <w:lang w:val="en-US"/>
              </w:rPr>
            </w:pPr>
            <w:r>
              <w:rPr>
                <w:rFonts w:cs="Arial"/>
                <w:lang w:val="en-US"/>
              </w:rPr>
              <w:t>Mandatory</w:t>
            </w:r>
          </w:p>
        </w:tc>
        <w:tc>
          <w:tcPr>
            <w:tcW w:w="1227" w:type="dxa"/>
            <w:vMerge w:val="restart"/>
            <w:vAlign w:val="center"/>
          </w:tcPr>
          <w:p w14:paraId="56B5B7D5" w14:textId="77777777" w:rsidR="00732597" w:rsidRPr="00DF7DF0" w:rsidRDefault="00732597" w:rsidP="005E341E">
            <w:pPr>
              <w:spacing w:before="60" w:after="60"/>
              <w:jc w:val="center"/>
              <w:rPr>
                <w:rFonts w:cs="Arial"/>
                <w:lang w:val="en-US"/>
              </w:rPr>
            </w:pPr>
            <w:r>
              <w:rPr>
                <w:rFonts w:cs="Arial"/>
                <w:lang w:val="en-US"/>
              </w:rPr>
              <w:t>Mandatory</w:t>
            </w:r>
          </w:p>
        </w:tc>
      </w:tr>
      <w:tr w:rsidR="00732597" w:rsidRPr="00DF7DF0" w14:paraId="34F83C89" w14:textId="77777777" w:rsidTr="005E341E">
        <w:trPr>
          <w:trHeight w:val="339"/>
          <w:jc w:val="center"/>
        </w:trPr>
        <w:tc>
          <w:tcPr>
            <w:tcW w:w="2263" w:type="dxa"/>
            <w:vMerge/>
            <w:vAlign w:val="center"/>
          </w:tcPr>
          <w:p w14:paraId="6955285D" w14:textId="77777777" w:rsidR="00732597" w:rsidRPr="00DF7DF0" w:rsidRDefault="00732597" w:rsidP="005E341E">
            <w:pPr>
              <w:spacing w:before="60" w:after="60"/>
              <w:rPr>
                <w:rFonts w:cs="Arial"/>
                <w:lang w:val="en-US"/>
              </w:rPr>
            </w:pPr>
          </w:p>
        </w:tc>
        <w:tc>
          <w:tcPr>
            <w:tcW w:w="2835" w:type="dxa"/>
          </w:tcPr>
          <w:p w14:paraId="02FA5440" w14:textId="77777777" w:rsidR="00732597" w:rsidRPr="00DF7DF0" w:rsidRDefault="00732597" w:rsidP="005E341E">
            <w:pPr>
              <w:spacing w:before="60" w:after="60"/>
              <w:rPr>
                <w:rFonts w:cs="Arial"/>
                <w:lang w:val="en-US"/>
              </w:rPr>
            </w:pPr>
            <w:r>
              <w:rPr>
                <w:rFonts w:cs="Arial"/>
                <w:lang w:val="en-US"/>
              </w:rPr>
              <w:t>Coil</w:t>
            </w:r>
          </w:p>
        </w:tc>
        <w:tc>
          <w:tcPr>
            <w:tcW w:w="1139" w:type="dxa"/>
            <w:vAlign w:val="center"/>
          </w:tcPr>
          <w:p w14:paraId="587ED445" w14:textId="77777777" w:rsidR="00732597" w:rsidRPr="00DF7DF0" w:rsidRDefault="00732597" w:rsidP="005E341E">
            <w:pPr>
              <w:spacing w:before="60" w:after="60"/>
              <w:jc w:val="center"/>
              <w:rPr>
                <w:rFonts w:cs="Arial"/>
                <w:lang w:val="en-US"/>
              </w:rPr>
            </w:pPr>
            <w:r>
              <w:rPr>
                <w:rFonts w:cs="Arial"/>
                <w:lang w:val="en-US"/>
              </w:rPr>
              <w:t>C</w:t>
            </w:r>
          </w:p>
        </w:tc>
        <w:tc>
          <w:tcPr>
            <w:tcW w:w="1276" w:type="dxa"/>
            <w:vMerge/>
            <w:vAlign w:val="center"/>
          </w:tcPr>
          <w:p w14:paraId="14A23DAD" w14:textId="77777777" w:rsidR="00732597" w:rsidRPr="00DF7DF0" w:rsidRDefault="00732597" w:rsidP="005E341E">
            <w:pPr>
              <w:spacing w:before="60" w:after="60"/>
              <w:jc w:val="center"/>
              <w:rPr>
                <w:rFonts w:cs="Arial"/>
                <w:lang w:val="en-US"/>
              </w:rPr>
            </w:pPr>
          </w:p>
        </w:tc>
        <w:tc>
          <w:tcPr>
            <w:tcW w:w="1227" w:type="dxa"/>
            <w:vMerge/>
            <w:vAlign w:val="center"/>
          </w:tcPr>
          <w:p w14:paraId="2F24E1D4" w14:textId="77777777" w:rsidR="00732597" w:rsidRPr="00DF7DF0" w:rsidRDefault="00732597" w:rsidP="005E341E">
            <w:pPr>
              <w:spacing w:before="60" w:after="60"/>
              <w:jc w:val="center"/>
              <w:rPr>
                <w:rFonts w:cs="Arial"/>
                <w:lang w:val="en-US"/>
              </w:rPr>
            </w:pPr>
          </w:p>
        </w:tc>
      </w:tr>
      <w:tr w:rsidR="00732597" w:rsidRPr="00DF7DF0" w14:paraId="679E0FF0" w14:textId="77777777" w:rsidTr="005E341E">
        <w:trPr>
          <w:trHeight w:val="339"/>
          <w:jc w:val="center"/>
        </w:trPr>
        <w:tc>
          <w:tcPr>
            <w:tcW w:w="2263" w:type="dxa"/>
            <w:vMerge w:val="restart"/>
            <w:vAlign w:val="center"/>
          </w:tcPr>
          <w:p w14:paraId="3237284A" w14:textId="77777777" w:rsidR="00732597" w:rsidRPr="00DF7DF0" w:rsidRDefault="00732597" w:rsidP="005E341E">
            <w:pPr>
              <w:spacing w:before="60" w:after="60"/>
              <w:rPr>
                <w:rFonts w:cs="Arial"/>
                <w:lang w:val="en-US"/>
              </w:rPr>
            </w:pPr>
            <w:r>
              <w:rPr>
                <w:rFonts w:cs="Arial"/>
                <w:lang w:val="en-US"/>
              </w:rPr>
              <w:t xml:space="preserve">Nominal diameter </w:t>
            </w:r>
            <w:r>
              <w:rPr>
                <w:rFonts w:cs="Arial"/>
                <w:lang w:val="en-US"/>
              </w:rPr>
              <w:br/>
              <w:t>(in millimetres or “mm”)</w:t>
            </w:r>
          </w:p>
        </w:tc>
        <w:tc>
          <w:tcPr>
            <w:tcW w:w="2835" w:type="dxa"/>
          </w:tcPr>
          <w:p w14:paraId="09117488" w14:textId="77777777" w:rsidR="00732597" w:rsidRPr="00DF7DF0" w:rsidRDefault="00732597" w:rsidP="005E341E">
            <w:pPr>
              <w:spacing w:before="60" w:after="60"/>
              <w:rPr>
                <w:rFonts w:cs="Arial"/>
                <w:lang w:val="en-US"/>
              </w:rPr>
            </w:pPr>
            <w:r>
              <w:rPr>
                <w:rFonts w:cs="Arial"/>
                <w:lang w:val="en-US"/>
              </w:rPr>
              <w:t>Less than 12 mm</w:t>
            </w:r>
          </w:p>
        </w:tc>
        <w:tc>
          <w:tcPr>
            <w:tcW w:w="1139" w:type="dxa"/>
            <w:vAlign w:val="center"/>
          </w:tcPr>
          <w:p w14:paraId="7DB02A1E" w14:textId="77777777" w:rsidR="00732597" w:rsidRPr="00DF7DF0" w:rsidRDefault="00732597" w:rsidP="005E341E">
            <w:pPr>
              <w:spacing w:before="60" w:after="60"/>
              <w:jc w:val="center"/>
              <w:rPr>
                <w:rFonts w:cs="Arial"/>
                <w:lang w:val="en-US"/>
              </w:rPr>
            </w:pPr>
            <w:r>
              <w:rPr>
                <w:rFonts w:cs="Arial"/>
                <w:lang w:val="en-US"/>
              </w:rPr>
              <w:t>A</w:t>
            </w:r>
          </w:p>
        </w:tc>
        <w:tc>
          <w:tcPr>
            <w:tcW w:w="1276" w:type="dxa"/>
            <w:vMerge w:val="restart"/>
            <w:vAlign w:val="center"/>
          </w:tcPr>
          <w:p w14:paraId="6A4CC140" w14:textId="77777777" w:rsidR="00732597" w:rsidRPr="00DF7DF0" w:rsidRDefault="00732597" w:rsidP="005E341E">
            <w:pPr>
              <w:spacing w:before="60" w:after="60"/>
              <w:jc w:val="center"/>
              <w:rPr>
                <w:rFonts w:cs="Arial"/>
                <w:lang w:val="en-US"/>
              </w:rPr>
            </w:pPr>
            <w:r>
              <w:rPr>
                <w:rFonts w:cs="Arial"/>
                <w:lang w:val="en-US"/>
              </w:rPr>
              <w:t>Mandatory</w:t>
            </w:r>
          </w:p>
        </w:tc>
        <w:tc>
          <w:tcPr>
            <w:tcW w:w="1227" w:type="dxa"/>
            <w:vMerge w:val="restart"/>
            <w:vAlign w:val="center"/>
          </w:tcPr>
          <w:p w14:paraId="1D9E93F0" w14:textId="77777777" w:rsidR="00732597" w:rsidRPr="00DF7DF0" w:rsidRDefault="00732597" w:rsidP="005E341E">
            <w:pPr>
              <w:spacing w:before="60" w:after="60"/>
              <w:jc w:val="center"/>
              <w:rPr>
                <w:rFonts w:cs="Arial"/>
                <w:lang w:val="en-US"/>
              </w:rPr>
            </w:pPr>
            <w:r>
              <w:rPr>
                <w:rFonts w:cs="Arial"/>
                <w:lang w:val="en-US"/>
              </w:rPr>
              <w:t>Optional</w:t>
            </w:r>
          </w:p>
        </w:tc>
      </w:tr>
      <w:tr w:rsidR="00732597" w:rsidRPr="00DF7DF0" w14:paraId="3D580830" w14:textId="77777777" w:rsidTr="005E341E">
        <w:trPr>
          <w:trHeight w:val="339"/>
          <w:jc w:val="center"/>
        </w:trPr>
        <w:tc>
          <w:tcPr>
            <w:tcW w:w="2263" w:type="dxa"/>
            <w:vMerge/>
            <w:vAlign w:val="center"/>
          </w:tcPr>
          <w:p w14:paraId="35D65B68" w14:textId="77777777" w:rsidR="00732597" w:rsidRPr="00DF7DF0" w:rsidRDefault="00732597" w:rsidP="005E341E">
            <w:pPr>
              <w:spacing w:before="60" w:after="60"/>
              <w:rPr>
                <w:rFonts w:cs="Arial"/>
                <w:lang w:val="en-US"/>
              </w:rPr>
            </w:pPr>
          </w:p>
        </w:tc>
        <w:tc>
          <w:tcPr>
            <w:tcW w:w="2835" w:type="dxa"/>
          </w:tcPr>
          <w:p w14:paraId="7B7D69DD" w14:textId="77777777" w:rsidR="00732597" w:rsidRPr="00DF7DF0" w:rsidRDefault="00732597" w:rsidP="005E341E">
            <w:pPr>
              <w:spacing w:before="60" w:after="60"/>
              <w:rPr>
                <w:rFonts w:cs="Arial"/>
                <w:lang w:val="en-US"/>
              </w:rPr>
            </w:pPr>
            <w:r>
              <w:rPr>
                <w:rFonts w:cs="Arial"/>
                <w:lang w:val="en-US"/>
              </w:rPr>
              <w:t>Greater than or equal to 12 mm and less than or equal to 16 mm</w:t>
            </w:r>
          </w:p>
        </w:tc>
        <w:tc>
          <w:tcPr>
            <w:tcW w:w="1139" w:type="dxa"/>
            <w:vAlign w:val="center"/>
          </w:tcPr>
          <w:p w14:paraId="15532F42" w14:textId="77777777" w:rsidR="00732597" w:rsidRPr="00DF7DF0" w:rsidRDefault="00732597" w:rsidP="005E341E">
            <w:pPr>
              <w:spacing w:before="60" w:after="60"/>
              <w:jc w:val="center"/>
              <w:rPr>
                <w:rFonts w:cs="Arial"/>
                <w:lang w:val="en-US"/>
              </w:rPr>
            </w:pPr>
            <w:r>
              <w:rPr>
                <w:rFonts w:cs="Arial"/>
                <w:lang w:val="en-US"/>
              </w:rPr>
              <w:t>B</w:t>
            </w:r>
          </w:p>
        </w:tc>
        <w:tc>
          <w:tcPr>
            <w:tcW w:w="1276" w:type="dxa"/>
            <w:vMerge/>
            <w:vAlign w:val="center"/>
          </w:tcPr>
          <w:p w14:paraId="3348C713" w14:textId="77777777" w:rsidR="00732597" w:rsidRPr="00DF7DF0" w:rsidRDefault="00732597" w:rsidP="005E341E">
            <w:pPr>
              <w:spacing w:before="60" w:after="60"/>
              <w:jc w:val="center"/>
              <w:rPr>
                <w:rFonts w:cs="Arial"/>
                <w:lang w:val="en-US"/>
              </w:rPr>
            </w:pPr>
          </w:p>
        </w:tc>
        <w:tc>
          <w:tcPr>
            <w:tcW w:w="1227" w:type="dxa"/>
            <w:vMerge/>
            <w:vAlign w:val="center"/>
          </w:tcPr>
          <w:p w14:paraId="0A0A046A" w14:textId="77777777" w:rsidR="00732597" w:rsidRPr="00DF7DF0" w:rsidRDefault="00732597" w:rsidP="005E341E">
            <w:pPr>
              <w:spacing w:before="60" w:after="60"/>
              <w:jc w:val="center"/>
              <w:rPr>
                <w:rFonts w:cs="Arial"/>
                <w:lang w:val="en-US"/>
              </w:rPr>
            </w:pPr>
          </w:p>
        </w:tc>
      </w:tr>
      <w:tr w:rsidR="00732597" w:rsidRPr="00DF7DF0" w14:paraId="2ACF0E5A" w14:textId="77777777" w:rsidTr="005E341E">
        <w:trPr>
          <w:trHeight w:val="339"/>
          <w:jc w:val="center"/>
        </w:trPr>
        <w:tc>
          <w:tcPr>
            <w:tcW w:w="2263" w:type="dxa"/>
            <w:vMerge/>
            <w:vAlign w:val="center"/>
          </w:tcPr>
          <w:p w14:paraId="753EDD52" w14:textId="77777777" w:rsidR="00732597" w:rsidRPr="00DF7DF0" w:rsidRDefault="00732597" w:rsidP="005E341E">
            <w:pPr>
              <w:spacing w:before="60" w:after="60"/>
              <w:rPr>
                <w:rFonts w:cs="Arial"/>
                <w:lang w:val="en-US"/>
              </w:rPr>
            </w:pPr>
          </w:p>
        </w:tc>
        <w:tc>
          <w:tcPr>
            <w:tcW w:w="2835" w:type="dxa"/>
          </w:tcPr>
          <w:p w14:paraId="07BD825C" w14:textId="77777777" w:rsidR="00732597" w:rsidRPr="00DF7DF0" w:rsidRDefault="00732597" w:rsidP="005E341E">
            <w:pPr>
              <w:spacing w:before="60" w:after="60"/>
              <w:rPr>
                <w:rFonts w:cs="Arial"/>
                <w:lang w:val="en-US"/>
              </w:rPr>
            </w:pPr>
            <w:r>
              <w:rPr>
                <w:rFonts w:cs="Arial"/>
                <w:lang w:val="en-US"/>
              </w:rPr>
              <w:t>Greater than 16 mm and less than or equal to 32 mm</w:t>
            </w:r>
          </w:p>
        </w:tc>
        <w:tc>
          <w:tcPr>
            <w:tcW w:w="1139" w:type="dxa"/>
            <w:vAlign w:val="center"/>
          </w:tcPr>
          <w:p w14:paraId="0C3EC8BC" w14:textId="77777777" w:rsidR="00732597" w:rsidRPr="00DF7DF0" w:rsidRDefault="00732597" w:rsidP="005E341E">
            <w:pPr>
              <w:spacing w:before="60" w:after="60"/>
              <w:jc w:val="center"/>
              <w:rPr>
                <w:rFonts w:cs="Arial"/>
                <w:lang w:val="en-US"/>
              </w:rPr>
            </w:pPr>
            <w:r>
              <w:rPr>
                <w:rFonts w:cs="Arial"/>
                <w:lang w:val="en-US"/>
              </w:rPr>
              <w:t>C</w:t>
            </w:r>
          </w:p>
        </w:tc>
        <w:tc>
          <w:tcPr>
            <w:tcW w:w="1276" w:type="dxa"/>
            <w:vMerge/>
            <w:vAlign w:val="center"/>
          </w:tcPr>
          <w:p w14:paraId="5FA78872" w14:textId="77777777" w:rsidR="00732597" w:rsidRPr="00DF7DF0" w:rsidRDefault="00732597" w:rsidP="005E341E">
            <w:pPr>
              <w:spacing w:before="60" w:after="60"/>
              <w:jc w:val="center"/>
              <w:rPr>
                <w:rFonts w:cs="Arial"/>
                <w:lang w:val="en-US"/>
              </w:rPr>
            </w:pPr>
          </w:p>
        </w:tc>
        <w:tc>
          <w:tcPr>
            <w:tcW w:w="1227" w:type="dxa"/>
            <w:vMerge/>
            <w:vAlign w:val="center"/>
          </w:tcPr>
          <w:p w14:paraId="392A6770" w14:textId="77777777" w:rsidR="00732597" w:rsidRPr="00DF7DF0" w:rsidRDefault="00732597" w:rsidP="005E341E">
            <w:pPr>
              <w:spacing w:before="60" w:after="60"/>
              <w:jc w:val="center"/>
              <w:rPr>
                <w:rFonts w:cs="Arial"/>
                <w:lang w:val="en-US"/>
              </w:rPr>
            </w:pPr>
          </w:p>
        </w:tc>
      </w:tr>
      <w:tr w:rsidR="00732597" w:rsidRPr="00DF7DF0" w14:paraId="7A104C20" w14:textId="77777777" w:rsidTr="005E341E">
        <w:trPr>
          <w:trHeight w:val="339"/>
          <w:jc w:val="center"/>
        </w:trPr>
        <w:tc>
          <w:tcPr>
            <w:tcW w:w="2263" w:type="dxa"/>
            <w:vMerge/>
            <w:vAlign w:val="center"/>
          </w:tcPr>
          <w:p w14:paraId="6466644A" w14:textId="77777777" w:rsidR="00732597" w:rsidRPr="00DF7DF0" w:rsidRDefault="00732597" w:rsidP="005E341E">
            <w:pPr>
              <w:spacing w:before="60" w:after="60"/>
              <w:rPr>
                <w:rFonts w:cs="Arial"/>
                <w:lang w:val="en-US"/>
              </w:rPr>
            </w:pPr>
          </w:p>
        </w:tc>
        <w:tc>
          <w:tcPr>
            <w:tcW w:w="2835" w:type="dxa"/>
          </w:tcPr>
          <w:p w14:paraId="472263AB" w14:textId="77777777" w:rsidR="00732597" w:rsidRPr="00DF7DF0" w:rsidRDefault="00732597" w:rsidP="005E341E">
            <w:pPr>
              <w:spacing w:before="60" w:after="60"/>
              <w:rPr>
                <w:rFonts w:cs="Arial"/>
                <w:lang w:val="en-US"/>
              </w:rPr>
            </w:pPr>
            <w:r>
              <w:rPr>
                <w:rFonts w:cs="Arial"/>
                <w:lang w:val="en-US"/>
              </w:rPr>
              <w:t>Greater than 32 mm and less than or equal to 50 mm</w:t>
            </w:r>
          </w:p>
        </w:tc>
        <w:tc>
          <w:tcPr>
            <w:tcW w:w="1139" w:type="dxa"/>
            <w:vAlign w:val="center"/>
          </w:tcPr>
          <w:p w14:paraId="0D566979" w14:textId="77777777" w:rsidR="00732597" w:rsidRPr="00DF7DF0" w:rsidRDefault="00732597" w:rsidP="005E341E">
            <w:pPr>
              <w:spacing w:before="60" w:after="60"/>
              <w:jc w:val="center"/>
              <w:rPr>
                <w:rFonts w:cs="Arial"/>
                <w:lang w:val="en-US"/>
              </w:rPr>
            </w:pPr>
            <w:r>
              <w:rPr>
                <w:rFonts w:cs="Arial"/>
                <w:lang w:val="en-US"/>
              </w:rPr>
              <w:t>D</w:t>
            </w:r>
          </w:p>
        </w:tc>
        <w:tc>
          <w:tcPr>
            <w:tcW w:w="1276" w:type="dxa"/>
            <w:vMerge/>
            <w:vAlign w:val="center"/>
          </w:tcPr>
          <w:p w14:paraId="4718EBF9" w14:textId="77777777" w:rsidR="00732597" w:rsidRPr="00DF7DF0" w:rsidRDefault="00732597" w:rsidP="005E341E">
            <w:pPr>
              <w:spacing w:before="60" w:after="60"/>
              <w:jc w:val="center"/>
              <w:rPr>
                <w:rFonts w:cs="Arial"/>
                <w:lang w:val="en-US"/>
              </w:rPr>
            </w:pPr>
          </w:p>
        </w:tc>
        <w:tc>
          <w:tcPr>
            <w:tcW w:w="1227" w:type="dxa"/>
            <w:vMerge/>
            <w:vAlign w:val="center"/>
          </w:tcPr>
          <w:p w14:paraId="22217EF5" w14:textId="77777777" w:rsidR="00732597" w:rsidRPr="00DF7DF0" w:rsidRDefault="00732597" w:rsidP="005E341E">
            <w:pPr>
              <w:spacing w:before="60" w:after="60"/>
              <w:jc w:val="center"/>
              <w:rPr>
                <w:rFonts w:cs="Arial"/>
                <w:lang w:val="en-US"/>
              </w:rPr>
            </w:pPr>
          </w:p>
        </w:tc>
      </w:tr>
      <w:tr w:rsidR="00732597" w:rsidRPr="00DF7DF0" w14:paraId="623C849F" w14:textId="77777777" w:rsidTr="005E341E">
        <w:trPr>
          <w:trHeight w:val="339"/>
          <w:jc w:val="center"/>
        </w:trPr>
        <w:tc>
          <w:tcPr>
            <w:tcW w:w="2263" w:type="dxa"/>
            <w:vMerge w:val="restart"/>
            <w:vAlign w:val="center"/>
          </w:tcPr>
          <w:p w14:paraId="5E4560A2" w14:textId="77777777" w:rsidR="00732597" w:rsidRPr="00DF7DF0" w:rsidRDefault="00732597" w:rsidP="005E341E">
            <w:pPr>
              <w:spacing w:before="60" w:after="60"/>
              <w:rPr>
                <w:rFonts w:cs="Arial"/>
                <w:lang w:val="en-US"/>
              </w:rPr>
            </w:pPr>
            <w:r>
              <w:rPr>
                <w:rFonts w:cs="Arial"/>
                <w:lang w:val="en-US"/>
              </w:rPr>
              <w:t xml:space="preserve">Length </w:t>
            </w:r>
            <w:r>
              <w:rPr>
                <w:rFonts w:cs="Arial"/>
                <w:lang w:val="en-US"/>
              </w:rPr>
              <w:br/>
              <w:t>(in metres or “m”)</w:t>
            </w:r>
          </w:p>
        </w:tc>
        <w:tc>
          <w:tcPr>
            <w:tcW w:w="2835" w:type="dxa"/>
          </w:tcPr>
          <w:p w14:paraId="26990E2E" w14:textId="77777777" w:rsidR="00732597" w:rsidRPr="00DF7DF0" w:rsidRDefault="00732597" w:rsidP="005E341E">
            <w:pPr>
              <w:spacing w:before="60" w:after="60"/>
              <w:rPr>
                <w:rFonts w:cs="Arial"/>
                <w:lang w:val="en-US"/>
              </w:rPr>
            </w:pPr>
            <w:r>
              <w:rPr>
                <w:rFonts w:cs="Arial"/>
                <w:lang w:val="en-US"/>
              </w:rPr>
              <w:t>Less than or equal to 6 m</w:t>
            </w:r>
          </w:p>
        </w:tc>
        <w:tc>
          <w:tcPr>
            <w:tcW w:w="1139" w:type="dxa"/>
            <w:vAlign w:val="center"/>
          </w:tcPr>
          <w:p w14:paraId="58C1C0B1" w14:textId="77777777" w:rsidR="00732597" w:rsidRPr="00DF7DF0" w:rsidRDefault="00732597" w:rsidP="005E341E">
            <w:pPr>
              <w:spacing w:before="60" w:after="60"/>
              <w:jc w:val="center"/>
              <w:rPr>
                <w:rFonts w:cs="Arial"/>
                <w:lang w:val="en-US"/>
              </w:rPr>
            </w:pPr>
            <w:r>
              <w:rPr>
                <w:rFonts w:cs="Arial"/>
                <w:lang w:val="en-US"/>
              </w:rPr>
              <w:t>1</w:t>
            </w:r>
          </w:p>
        </w:tc>
        <w:tc>
          <w:tcPr>
            <w:tcW w:w="1276" w:type="dxa"/>
            <w:vMerge w:val="restart"/>
            <w:vAlign w:val="center"/>
          </w:tcPr>
          <w:p w14:paraId="1C0A392B" w14:textId="77777777" w:rsidR="00732597" w:rsidRPr="00DF7DF0" w:rsidRDefault="00732597" w:rsidP="005E341E">
            <w:pPr>
              <w:spacing w:before="60" w:after="60"/>
              <w:jc w:val="center"/>
              <w:rPr>
                <w:rFonts w:cs="Arial"/>
                <w:lang w:val="en-US"/>
              </w:rPr>
            </w:pPr>
            <w:r>
              <w:rPr>
                <w:rFonts w:cs="Arial"/>
                <w:lang w:val="en-US"/>
              </w:rPr>
              <w:t>Mandatory</w:t>
            </w:r>
          </w:p>
        </w:tc>
        <w:tc>
          <w:tcPr>
            <w:tcW w:w="1227" w:type="dxa"/>
            <w:vMerge w:val="restart"/>
            <w:vAlign w:val="center"/>
          </w:tcPr>
          <w:p w14:paraId="4F3FEB8E" w14:textId="77777777" w:rsidR="00732597" w:rsidRPr="00DF7DF0" w:rsidRDefault="00732597" w:rsidP="005E341E">
            <w:pPr>
              <w:spacing w:before="60" w:after="60"/>
              <w:jc w:val="center"/>
              <w:rPr>
                <w:rFonts w:cs="Arial"/>
                <w:lang w:val="en-US"/>
              </w:rPr>
            </w:pPr>
            <w:r>
              <w:rPr>
                <w:rFonts w:cs="Arial"/>
                <w:lang w:val="en-US"/>
              </w:rPr>
              <w:t>Optional</w:t>
            </w:r>
          </w:p>
        </w:tc>
      </w:tr>
      <w:tr w:rsidR="00732597" w:rsidRPr="00DF7DF0" w14:paraId="6D3F2B8A" w14:textId="77777777" w:rsidTr="005E341E">
        <w:trPr>
          <w:trHeight w:val="339"/>
          <w:jc w:val="center"/>
        </w:trPr>
        <w:tc>
          <w:tcPr>
            <w:tcW w:w="2263" w:type="dxa"/>
            <w:vMerge/>
            <w:vAlign w:val="center"/>
          </w:tcPr>
          <w:p w14:paraId="46B8A007" w14:textId="77777777" w:rsidR="00732597" w:rsidRPr="00DF7DF0" w:rsidRDefault="00732597" w:rsidP="005E341E">
            <w:pPr>
              <w:spacing w:before="60" w:after="60"/>
              <w:rPr>
                <w:rFonts w:cs="Arial"/>
                <w:lang w:val="en-US"/>
              </w:rPr>
            </w:pPr>
          </w:p>
        </w:tc>
        <w:tc>
          <w:tcPr>
            <w:tcW w:w="2835" w:type="dxa"/>
          </w:tcPr>
          <w:p w14:paraId="33E00556" w14:textId="77777777" w:rsidR="00732597" w:rsidRPr="00DF7DF0" w:rsidRDefault="00732597" w:rsidP="005E341E">
            <w:pPr>
              <w:spacing w:before="60" w:after="60"/>
              <w:rPr>
                <w:rFonts w:cs="Arial"/>
                <w:lang w:val="en-US"/>
              </w:rPr>
            </w:pPr>
            <w:r>
              <w:rPr>
                <w:rFonts w:cs="Arial"/>
                <w:lang w:val="en-US"/>
              </w:rPr>
              <w:t>Greater than 6 m and less than or equal to 12 m</w:t>
            </w:r>
          </w:p>
        </w:tc>
        <w:tc>
          <w:tcPr>
            <w:tcW w:w="1139" w:type="dxa"/>
            <w:vAlign w:val="center"/>
          </w:tcPr>
          <w:p w14:paraId="34397116" w14:textId="77777777" w:rsidR="00732597" w:rsidRPr="00DF7DF0" w:rsidRDefault="00732597" w:rsidP="005E341E">
            <w:pPr>
              <w:spacing w:before="60" w:after="60"/>
              <w:jc w:val="center"/>
              <w:rPr>
                <w:rFonts w:cs="Arial"/>
                <w:lang w:val="en-US"/>
              </w:rPr>
            </w:pPr>
            <w:r>
              <w:rPr>
                <w:rFonts w:cs="Arial"/>
                <w:lang w:val="en-US"/>
              </w:rPr>
              <w:t>2</w:t>
            </w:r>
          </w:p>
        </w:tc>
        <w:tc>
          <w:tcPr>
            <w:tcW w:w="1276" w:type="dxa"/>
            <w:vMerge/>
            <w:vAlign w:val="center"/>
          </w:tcPr>
          <w:p w14:paraId="1AB41F5A" w14:textId="77777777" w:rsidR="00732597" w:rsidRPr="00DF7DF0" w:rsidRDefault="00732597" w:rsidP="005E341E">
            <w:pPr>
              <w:spacing w:before="60" w:after="60"/>
              <w:jc w:val="center"/>
              <w:rPr>
                <w:rFonts w:cs="Arial"/>
                <w:lang w:val="en-US"/>
              </w:rPr>
            </w:pPr>
          </w:p>
        </w:tc>
        <w:tc>
          <w:tcPr>
            <w:tcW w:w="1227" w:type="dxa"/>
            <w:vMerge/>
            <w:vAlign w:val="center"/>
          </w:tcPr>
          <w:p w14:paraId="0B2388AE" w14:textId="77777777" w:rsidR="00732597" w:rsidRPr="00DF7DF0" w:rsidRDefault="00732597" w:rsidP="005E341E">
            <w:pPr>
              <w:spacing w:before="60" w:after="60"/>
              <w:jc w:val="center"/>
              <w:rPr>
                <w:rFonts w:cs="Arial"/>
                <w:lang w:val="en-US"/>
              </w:rPr>
            </w:pPr>
          </w:p>
        </w:tc>
      </w:tr>
      <w:tr w:rsidR="00732597" w:rsidRPr="00DF7DF0" w14:paraId="5982E4BA" w14:textId="77777777" w:rsidTr="005E341E">
        <w:trPr>
          <w:trHeight w:val="339"/>
          <w:jc w:val="center"/>
        </w:trPr>
        <w:tc>
          <w:tcPr>
            <w:tcW w:w="2263" w:type="dxa"/>
            <w:vMerge/>
            <w:vAlign w:val="center"/>
          </w:tcPr>
          <w:p w14:paraId="2B762D0B" w14:textId="77777777" w:rsidR="00732597" w:rsidRPr="00DF7DF0" w:rsidRDefault="00732597" w:rsidP="005E341E">
            <w:pPr>
              <w:spacing w:before="60" w:after="60"/>
              <w:rPr>
                <w:rFonts w:cs="Arial"/>
                <w:lang w:val="en-US"/>
              </w:rPr>
            </w:pPr>
          </w:p>
        </w:tc>
        <w:tc>
          <w:tcPr>
            <w:tcW w:w="2835" w:type="dxa"/>
          </w:tcPr>
          <w:p w14:paraId="6FAAC5A7" w14:textId="77777777" w:rsidR="00732597" w:rsidRPr="00DF7DF0" w:rsidRDefault="00732597" w:rsidP="005E341E">
            <w:pPr>
              <w:spacing w:before="60" w:after="60"/>
              <w:rPr>
                <w:rFonts w:cs="Arial"/>
                <w:lang w:val="en-US"/>
              </w:rPr>
            </w:pPr>
            <w:r>
              <w:rPr>
                <w:rFonts w:cs="Arial"/>
                <w:lang w:val="en-US"/>
              </w:rPr>
              <w:t>Greater than 12 m</w:t>
            </w:r>
          </w:p>
        </w:tc>
        <w:tc>
          <w:tcPr>
            <w:tcW w:w="1139" w:type="dxa"/>
            <w:vAlign w:val="center"/>
          </w:tcPr>
          <w:p w14:paraId="056D7C86" w14:textId="77777777" w:rsidR="00732597" w:rsidRPr="00DF7DF0" w:rsidRDefault="00732597" w:rsidP="005E341E">
            <w:pPr>
              <w:spacing w:before="60" w:after="60"/>
              <w:jc w:val="center"/>
              <w:rPr>
                <w:rFonts w:cs="Arial"/>
                <w:lang w:val="en-US"/>
              </w:rPr>
            </w:pPr>
            <w:r>
              <w:rPr>
                <w:rFonts w:cs="Arial"/>
                <w:lang w:val="en-US"/>
              </w:rPr>
              <w:t>3</w:t>
            </w:r>
          </w:p>
        </w:tc>
        <w:tc>
          <w:tcPr>
            <w:tcW w:w="1276" w:type="dxa"/>
            <w:vMerge/>
            <w:vAlign w:val="center"/>
          </w:tcPr>
          <w:p w14:paraId="544EE709" w14:textId="77777777" w:rsidR="00732597" w:rsidRPr="00DF7DF0" w:rsidRDefault="00732597" w:rsidP="005E341E">
            <w:pPr>
              <w:spacing w:before="60" w:after="60"/>
              <w:jc w:val="center"/>
              <w:rPr>
                <w:rFonts w:cs="Arial"/>
                <w:lang w:val="en-US"/>
              </w:rPr>
            </w:pPr>
          </w:p>
        </w:tc>
        <w:tc>
          <w:tcPr>
            <w:tcW w:w="1227" w:type="dxa"/>
            <w:vMerge/>
            <w:vAlign w:val="center"/>
          </w:tcPr>
          <w:p w14:paraId="7202339C" w14:textId="77777777" w:rsidR="00732597" w:rsidRPr="00DF7DF0" w:rsidRDefault="00732597" w:rsidP="005E341E">
            <w:pPr>
              <w:spacing w:before="60" w:after="60"/>
              <w:jc w:val="center"/>
              <w:rPr>
                <w:rFonts w:cs="Arial"/>
                <w:lang w:val="en-US"/>
              </w:rPr>
            </w:pPr>
          </w:p>
        </w:tc>
      </w:tr>
      <w:tr w:rsidR="00732597" w:rsidRPr="00DF7DF0" w14:paraId="5460698A" w14:textId="77777777" w:rsidTr="005E341E">
        <w:trPr>
          <w:trHeight w:val="339"/>
          <w:jc w:val="center"/>
        </w:trPr>
        <w:tc>
          <w:tcPr>
            <w:tcW w:w="2263" w:type="dxa"/>
            <w:vMerge/>
            <w:vAlign w:val="center"/>
          </w:tcPr>
          <w:p w14:paraId="0D8D938F" w14:textId="77777777" w:rsidR="00732597" w:rsidRPr="00DF7DF0" w:rsidRDefault="00732597" w:rsidP="005E341E">
            <w:pPr>
              <w:spacing w:before="60" w:after="60"/>
              <w:rPr>
                <w:rFonts w:cs="Arial"/>
                <w:lang w:val="en-US"/>
              </w:rPr>
            </w:pPr>
          </w:p>
        </w:tc>
        <w:tc>
          <w:tcPr>
            <w:tcW w:w="2835" w:type="dxa"/>
          </w:tcPr>
          <w:p w14:paraId="0B627C37" w14:textId="77777777" w:rsidR="00732597" w:rsidRPr="00DF7DF0" w:rsidRDefault="00732597" w:rsidP="005E341E">
            <w:pPr>
              <w:spacing w:before="60" w:after="60"/>
              <w:rPr>
                <w:rFonts w:cs="Arial"/>
                <w:lang w:val="en-US"/>
              </w:rPr>
            </w:pPr>
            <w:r>
              <w:rPr>
                <w:rFonts w:cs="Arial"/>
                <w:lang w:val="en-US"/>
              </w:rPr>
              <w:t>Coil</w:t>
            </w:r>
          </w:p>
        </w:tc>
        <w:tc>
          <w:tcPr>
            <w:tcW w:w="1139" w:type="dxa"/>
            <w:vAlign w:val="center"/>
          </w:tcPr>
          <w:p w14:paraId="5C440459" w14:textId="77777777" w:rsidR="00732597" w:rsidRPr="00DF7DF0" w:rsidRDefault="00732597" w:rsidP="005E341E">
            <w:pPr>
              <w:spacing w:before="60" w:after="60"/>
              <w:jc w:val="center"/>
              <w:rPr>
                <w:rFonts w:cs="Arial"/>
                <w:lang w:val="en-US"/>
              </w:rPr>
            </w:pPr>
            <w:r>
              <w:rPr>
                <w:rFonts w:cs="Arial"/>
                <w:lang w:val="en-US"/>
              </w:rPr>
              <w:t>C</w:t>
            </w:r>
          </w:p>
        </w:tc>
        <w:tc>
          <w:tcPr>
            <w:tcW w:w="1276" w:type="dxa"/>
            <w:vMerge/>
            <w:vAlign w:val="center"/>
          </w:tcPr>
          <w:p w14:paraId="3867B747" w14:textId="77777777" w:rsidR="00732597" w:rsidRPr="00DF7DF0" w:rsidRDefault="00732597" w:rsidP="005E341E">
            <w:pPr>
              <w:spacing w:before="60" w:after="60"/>
              <w:jc w:val="center"/>
              <w:rPr>
                <w:rFonts w:cs="Arial"/>
                <w:lang w:val="en-US"/>
              </w:rPr>
            </w:pPr>
          </w:p>
        </w:tc>
        <w:tc>
          <w:tcPr>
            <w:tcW w:w="1227" w:type="dxa"/>
            <w:vMerge/>
            <w:vAlign w:val="center"/>
          </w:tcPr>
          <w:p w14:paraId="7DEEFCAD" w14:textId="77777777" w:rsidR="00732597" w:rsidRPr="00DF7DF0" w:rsidRDefault="00732597" w:rsidP="005E341E">
            <w:pPr>
              <w:spacing w:before="60" w:after="60"/>
              <w:jc w:val="center"/>
              <w:rPr>
                <w:rFonts w:cs="Arial"/>
                <w:lang w:val="en-US"/>
              </w:rPr>
            </w:pPr>
          </w:p>
        </w:tc>
      </w:tr>
      <w:tr w:rsidR="00732597" w:rsidRPr="00DF7DF0" w14:paraId="05930A8C" w14:textId="77777777" w:rsidTr="005E341E">
        <w:trPr>
          <w:trHeight w:val="339"/>
          <w:jc w:val="center"/>
        </w:trPr>
        <w:tc>
          <w:tcPr>
            <w:tcW w:w="2263" w:type="dxa"/>
            <w:vMerge w:val="restart"/>
            <w:vAlign w:val="center"/>
          </w:tcPr>
          <w:p w14:paraId="11BDB42B" w14:textId="77777777" w:rsidR="00732597" w:rsidRPr="00DF7DF0" w:rsidRDefault="00732597" w:rsidP="005E341E">
            <w:pPr>
              <w:spacing w:before="60" w:after="60"/>
              <w:rPr>
                <w:rFonts w:cs="Arial"/>
                <w:lang w:val="en-US"/>
              </w:rPr>
            </w:pPr>
            <w:r>
              <w:rPr>
                <w:rFonts w:cs="Arial"/>
                <w:lang w:val="en-US"/>
              </w:rPr>
              <w:t>Deformation pattern</w:t>
            </w:r>
          </w:p>
        </w:tc>
        <w:tc>
          <w:tcPr>
            <w:tcW w:w="2835" w:type="dxa"/>
          </w:tcPr>
          <w:p w14:paraId="35B591B7" w14:textId="77777777" w:rsidR="00732597" w:rsidRPr="00DF7DF0" w:rsidRDefault="00732597" w:rsidP="005E341E">
            <w:pPr>
              <w:spacing w:before="60" w:after="60"/>
              <w:rPr>
                <w:rFonts w:cs="Arial"/>
                <w:lang w:val="en-US"/>
              </w:rPr>
            </w:pPr>
            <w:r>
              <w:rPr>
                <w:rFonts w:cs="Arial"/>
                <w:lang w:val="en-US"/>
              </w:rPr>
              <w:t>Threaded</w:t>
            </w:r>
          </w:p>
        </w:tc>
        <w:tc>
          <w:tcPr>
            <w:tcW w:w="1139" w:type="dxa"/>
            <w:vAlign w:val="center"/>
          </w:tcPr>
          <w:p w14:paraId="11A3E6E2" w14:textId="77777777" w:rsidR="00732597" w:rsidRPr="00DF7DF0" w:rsidRDefault="00732597" w:rsidP="005E341E">
            <w:pPr>
              <w:spacing w:before="60" w:after="60"/>
              <w:jc w:val="center"/>
              <w:rPr>
                <w:rFonts w:cs="Arial"/>
                <w:lang w:val="en-US"/>
              </w:rPr>
            </w:pPr>
            <w:r>
              <w:rPr>
                <w:rFonts w:cs="Arial"/>
                <w:lang w:val="en-US"/>
              </w:rPr>
              <w:t>T</w:t>
            </w:r>
          </w:p>
        </w:tc>
        <w:tc>
          <w:tcPr>
            <w:tcW w:w="1276" w:type="dxa"/>
            <w:vMerge w:val="restart"/>
            <w:vAlign w:val="center"/>
          </w:tcPr>
          <w:p w14:paraId="57DD37EE" w14:textId="77777777" w:rsidR="00732597" w:rsidRPr="00DF7DF0" w:rsidRDefault="00732597" w:rsidP="005E341E">
            <w:pPr>
              <w:spacing w:before="60" w:after="60"/>
              <w:jc w:val="center"/>
              <w:rPr>
                <w:rFonts w:cs="Arial"/>
                <w:lang w:val="en-US"/>
              </w:rPr>
            </w:pPr>
            <w:r>
              <w:rPr>
                <w:rFonts w:cs="Arial"/>
                <w:lang w:val="en-US"/>
              </w:rPr>
              <w:t>Mandatory</w:t>
            </w:r>
          </w:p>
        </w:tc>
        <w:tc>
          <w:tcPr>
            <w:tcW w:w="1227" w:type="dxa"/>
            <w:vMerge w:val="restart"/>
            <w:vAlign w:val="center"/>
          </w:tcPr>
          <w:p w14:paraId="5CB77868" w14:textId="77777777" w:rsidR="00732597" w:rsidRPr="00DF7DF0" w:rsidRDefault="00732597" w:rsidP="005E341E">
            <w:pPr>
              <w:spacing w:before="60" w:after="60"/>
              <w:jc w:val="center"/>
              <w:rPr>
                <w:rFonts w:cs="Arial"/>
                <w:lang w:val="en-US"/>
              </w:rPr>
            </w:pPr>
            <w:r>
              <w:rPr>
                <w:rFonts w:cs="Arial"/>
                <w:lang w:val="en-US"/>
              </w:rPr>
              <w:t>Optional</w:t>
            </w:r>
          </w:p>
        </w:tc>
      </w:tr>
      <w:tr w:rsidR="00732597" w:rsidRPr="00DF7DF0" w14:paraId="17243CCD" w14:textId="77777777" w:rsidTr="005E341E">
        <w:trPr>
          <w:trHeight w:val="339"/>
          <w:jc w:val="center"/>
        </w:trPr>
        <w:tc>
          <w:tcPr>
            <w:tcW w:w="2263" w:type="dxa"/>
            <w:vMerge/>
          </w:tcPr>
          <w:p w14:paraId="75084B63" w14:textId="77777777" w:rsidR="00732597" w:rsidRPr="00DF7DF0" w:rsidRDefault="00732597" w:rsidP="005E341E">
            <w:pPr>
              <w:spacing w:before="60" w:after="60"/>
              <w:rPr>
                <w:rFonts w:cs="Arial"/>
                <w:lang w:val="en-US"/>
              </w:rPr>
            </w:pPr>
          </w:p>
        </w:tc>
        <w:tc>
          <w:tcPr>
            <w:tcW w:w="2835" w:type="dxa"/>
          </w:tcPr>
          <w:p w14:paraId="5A410D73" w14:textId="77777777" w:rsidR="00732597" w:rsidRPr="00DF7DF0" w:rsidRDefault="00732597" w:rsidP="005E341E">
            <w:pPr>
              <w:spacing w:before="60" w:after="60"/>
              <w:rPr>
                <w:rFonts w:cs="Arial"/>
                <w:lang w:val="en-US"/>
              </w:rPr>
            </w:pPr>
            <w:r>
              <w:rPr>
                <w:rFonts w:cs="Arial"/>
                <w:lang w:val="en-US"/>
              </w:rPr>
              <w:t>Non-threaded</w:t>
            </w:r>
          </w:p>
        </w:tc>
        <w:tc>
          <w:tcPr>
            <w:tcW w:w="1139" w:type="dxa"/>
            <w:vAlign w:val="center"/>
          </w:tcPr>
          <w:p w14:paraId="0CADD19E" w14:textId="77777777" w:rsidR="00732597" w:rsidRPr="00DF7DF0" w:rsidRDefault="00732597" w:rsidP="005E341E">
            <w:pPr>
              <w:spacing w:before="60" w:after="60"/>
              <w:jc w:val="center"/>
              <w:rPr>
                <w:rFonts w:cs="Arial"/>
                <w:lang w:val="en-US"/>
              </w:rPr>
            </w:pPr>
            <w:r>
              <w:rPr>
                <w:rFonts w:cs="Arial"/>
                <w:lang w:val="en-US"/>
              </w:rPr>
              <w:t>N</w:t>
            </w:r>
          </w:p>
        </w:tc>
        <w:tc>
          <w:tcPr>
            <w:tcW w:w="1276" w:type="dxa"/>
            <w:vMerge/>
          </w:tcPr>
          <w:p w14:paraId="034F4FE7" w14:textId="77777777" w:rsidR="00732597" w:rsidRPr="00DF7DF0" w:rsidRDefault="00732597" w:rsidP="005E341E">
            <w:pPr>
              <w:spacing w:before="60" w:after="60"/>
              <w:rPr>
                <w:rFonts w:cs="Arial"/>
                <w:lang w:val="en-US"/>
              </w:rPr>
            </w:pPr>
          </w:p>
        </w:tc>
        <w:tc>
          <w:tcPr>
            <w:tcW w:w="1227" w:type="dxa"/>
            <w:vMerge/>
          </w:tcPr>
          <w:p w14:paraId="14B8F88F" w14:textId="77777777" w:rsidR="00732597" w:rsidRPr="00DF7DF0" w:rsidRDefault="00732597" w:rsidP="005E341E">
            <w:pPr>
              <w:spacing w:before="60" w:after="60"/>
              <w:rPr>
                <w:rFonts w:cs="Arial"/>
                <w:lang w:val="en-US"/>
              </w:rPr>
            </w:pPr>
          </w:p>
        </w:tc>
      </w:tr>
    </w:tbl>
    <w:p w14:paraId="643D4D73" w14:textId="77777777" w:rsidR="00732597" w:rsidRDefault="00732597" w:rsidP="00732597">
      <w:pPr>
        <w:rPr>
          <w:snapToGrid w:val="0"/>
        </w:rPr>
      </w:pPr>
    </w:p>
    <w:p w14:paraId="1A068241" w14:textId="21A3395F" w:rsidR="00891546" w:rsidRDefault="00400213" w:rsidP="006C4A3A">
      <w:pPr>
        <w:rPr>
          <w:lang w:eastAsia="en-AU"/>
        </w:rPr>
      </w:pPr>
      <w:r>
        <w:rPr>
          <w:lang w:eastAsia="en-AU"/>
        </w:rPr>
        <w:t xml:space="preserve">In constructing </w:t>
      </w:r>
      <w:r w:rsidR="00A4669C">
        <w:rPr>
          <w:lang w:eastAsia="en-AU"/>
        </w:rPr>
        <w:t>an</w:t>
      </w:r>
      <w:r>
        <w:rPr>
          <w:lang w:eastAsia="en-AU"/>
        </w:rPr>
        <w:t xml:space="preserve"> MCC, use a </w:t>
      </w:r>
      <w:r w:rsidR="00FD7FB7">
        <w:rPr>
          <w:rFonts w:cs="Arial"/>
          <w:lang w:eastAsia="en-AU"/>
        </w:rPr>
        <w:t>‘</w:t>
      </w:r>
      <w:r>
        <w:rPr>
          <w:lang w:eastAsia="en-AU"/>
        </w:rPr>
        <w:t>-</w:t>
      </w:r>
      <w:r w:rsidR="00FD7FB7">
        <w:rPr>
          <w:rFonts w:cs="Arial"/>
          <w:lang w:eastAsia="en-AU"/>
        </w:rPr>
        <w:t>’</w:t>
      </w:r>
      <w:r>
        <w:rPr>
          <w:rFonts w:cs="Arial"/>
          <w:lang w:eastAsia="en-AU"/>
        </w:rPr>
        <w:t xml:space="preserve"> between each category. For example</w:t>
      </w:r>
      <w:r w:rsidR="00A34EBD">
        <w:rPr>
          <w:rFonts w:cs="Arial"/>
          <w:lang w:eastAsia="en-AU"/>
        </w:rPr>
        <w:t xml:space="preserve">, </w:t>
      </w:r>
      <w:r w:rsidR="00A34EBD" w:rsidRPr="000657E3">
        <w:rPr>
          <w:rFonts w:cs="Arial"/>
          <w:lang w:eastAsia="en-AU"/>
        </w:rPr>
        <w:t>P-B-S-B-3-N.</w:t>
      </w:r>
    </w:p>
    <w:p w14:paraId="1A068242" w14:textId="77777777" w:rsidR="00891546" w:rsidRDefault="00891546" w:rsidP="006C4A3A">
      <w:pPr>
        <w:rPr>
          <w:lang w:eastAsia="en-AU"/>
        </w:rPr>
      </w:pPr>
    </w:p>
    <w:p w14:paraId="1A068245" w14:textId="606A4413" w:rsidR="006C4A3A" w:rsidRDefault="006C4A3A" w:rsidP="006C4A3A">
      <w:pPr>
        <w:rPr>
          <w:lang w:eastAsia="en-AU"/>
        </w:rPr>
      </w:pPr>
      <w:r>
        <w:rPr>
          <w:lang w:eastAsia="en-AU"/>
        </w:rPr>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w:t>
      </w:r>
      <w:r w:rsidR="00A165CB">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068246" w14:textId="77777777" w:rsidR="00603E09" w:rsidRDefault="00603E09" w:rsidP="00C01F98">
      <w:pPr>
        <w:rPr>
          <w:snapToGrid w:val="0"/>
        </w:rPr>
      </w:pPr>
    </w:p>
    <w:p w14:paraId="1A068247" w14:textId="77777777" w:rsidR="00603E09" w:rsidRPr="00F8517C" w:rsidRDefault="00603E09" w:rsidP="00C01F98">
      <w:pPr>
        <w:rPr>
          <w:snapToGrid w:val="0"/>
        </w:rPr>
      </w:pPr>
    </w:p>
    <w:p w14:paraId="1A068248" w14:textId="77777777" w:rsidR="00515B70" w:rsidRDefault="00515B70" w:rsidP="00033ADB">
      <w:pPr>
        <w:pStyle w:val="Heading1"/>
      </w:pPr>
      <w:bookmarkStart w:id="35" w:name="_Toc506971828"/>
      <w:bookmarkStart w:id="36" w:name="_Toc508203820"/>
      <w:bookmarkStart w:id="37" w:name="_Toc508290354"/>
      <w:bookmarkStart w:id="38" w:name="_Toc515637638"/>
      <w:bookmarkStart w:id="39" w:name="_Ref520387621"/>
      <w:bookmarkStart w:id="40" w:name="_Toc104457343"/>
      <w:r>
        <w:lastRenderedPageBreak/>
        <w:t>Section A</w:t>
      </w:r>
      <w:r>
        <w:br/>
        <w:t xml:space="preserve">Company </w:t>
      </w:r>
      <w:bookmarkEnd w:id="35"/>
      <w:bookmarkEnd w:id="36"/>
      <w:bookmarkEnd w:id="37"/>
      <w:bookmarkEnd w:id="38"/>
      <w:r w:rsidR="00D9744D">
        <w:t xml:space="preserve">and supplier </w:t>
      </w:r>
      <w:r w:rsidR="00E82A0A">
        <w:t>i</w:t>
      </w:r>
      <w:r w:rsidR="00B61189">
        <w:t>nformation</w:t>
      </w:r>
      <w:bookmarkEnd w:id="39"/>
      <w:bookmarkEnd w:id="40"/>
    </w:p>
    <w:p w14:paraId="1A068249" w14:textId="77777777" w:rsidR="00515B70" w:rsidRDefault="00515B70">
      <w:pPr>
        <w:widowControl w:val="0"/>
        <w:ind w:right="-574"/>
        <w:jc w:val="both"/>
        <w:rPr>
          <w:snapToGrid w:val="0"/>
        </w:rPr>
      </w:pPr>
    </w:p>
    <w:p w14:paraId="1A06824A" w14:textId="77777777" w:rsidR="00515B70" w:rsidRPr="00747485" w:rsidRDefault="00515B70" w:rsidP="00441EA0">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6B176AF6" w:rsidR="00CC27E7" w:rsidRDefault="00CC27E7" w:rsidP="00441EA0">
      <w:pPr>
        <w:pStyle w:val="ListParagraph"/>
        <w:numPr>
          <w:ilvl w:val="0"/>
          <w:numId w:val="30"/>
        </w:numPr>
      </w:pPr>
      <w:r>
        <w:t xml:space="preserve">If </w:t>
      </w:r>
      <w:r w:rsidR="00743ECB">
        <w:t xml:space="preserve">you have appointed </w:t>
      </w:r>
      <w:r>
        <w:t xml:space="preserve">a representative, provide </w:t>
      </w:r>
      <w:r w:rsidR="00094A8C">
        <w:t>their</w:t>
      </w:r>
      <w:r w:rsidR="00743ECB">
        <w:rPr>
          <w:snapToGrid w:val="0"/>
        </w:rPr>
        <w:t xml:space="preserve">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441EA0">
      <w:pPr>
        <w:pStyle w:val="ListParagraph"/>
        <w:numPr>
          <w:ilvl w:val="0"/>
          <w:numId w:val="30"/>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441EA0">
      <w:pPr>
        <w:pStyle w:val="ListParagraph"/>
        <w:numPr>
          <w:ilvl w:val="0"/>
          <w:numId w:val="30"/>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441EA0">
      <w:pPr>
        <w:pStyle w:val="ListParagraph"/>
        <w:numPr>
          <w:ilvl w:val="0"/>
          <w:numId w:val="30"/>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0D4A2605" w:rsidR="0025165E" w:rsidRDefault="00CC27E7" w:rsidP="00441EA0">
      <w:pPr>
        <w:pStyle w:val="ListParagraph"/>
        <w:numPr>
          <w:ilvl w:val="0"/>
          <w:numId w:val="30"/>
        </w:numPr>
        <w:rPr>
          <w:snapToGrid w:val="0"/>
        </w:rPr>
      </w:pPr>
      <w:r w:rsidRPr="00CC27E7">
        <w:rPr>
          <w:snapToGrid w:val="0"/>
        </w:rPr>
        <w:t>Was your company ever known by a different legal and/or trading name? If yes, provide details</w:t>
      </w:r>
      <w:r w:rsidR="0002557F">
        <w:rPr>
          <w:snapToGrid w:val="0"/>
        </w:rPr>
        <w:t>.</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441EA0">
      <w:pPr>
        <w:pStyle w:val="ListParagraph"/>
        <w:numPr>
          <w:ilvl w:val="0"/>
          <w:numId w:val="30"/>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2BD7E76A" w:rsidR="00931BC3" w:rsidRPr="00C333F7" w:rsidRDefault="00931BC3" w:rsidP="00441EA0">
      <w:pPr>
        <w:pStyle w:val="ListParagraph"/>
        <w:numPr>
          <w:ilvl w:val="0"/>
          <w:numId w:val="30"/>
        </w:numPr>
        <w:rPr>
          <w:snapToGrid w:val="0"/>
        </w:rPr>
      </w:pPr>
      <w:r>
        <w:rPr>
          <w:snapToGrid w:val="0"/>
        </w:rPr>
        <w:t xml:space="preserve">Does your company undertake all functions of the importation of the goods, including lodging the import declarations, paying </w:t>
      </w:r>
      <w:r w:rsidR="00C333F7">
        <w:rPr>
          <w:snapToGrid w:val="0"/>
        </w:rPr>
        <w:t xml:space="preserve">importation costs (e.g. </w:t>
      </w:r>
      <w:r>
        <w:rPr>
          <w:snapToGrid w:val="0"/>
        </w:rPr>
        <w:t xml:space="preserve">duties, </w:t>
      </w:r>
      <w:r w:rsidR="00C333F7">
        <w:rPr>
          <w:snapToGrid w:val="0"/>
        </w:rPr>
        <w:t>broker’s fees, port charges), transportation from the port of discharge</w:t>
      </w:r>
      <w:r w:rsidR="00F411E6">
        <w:rPr>
          <w:snapToGrid w:val="0"/>
        </w:rPr>
        <w:t>?</w:t>
      </w:r>
      <w:r w:rsidR="00C333F7">
        <w:rPr>
          <w:snapToGrid w:val="0"/>
        </w:rPr>
        <w:t xml:space="preserv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5CB75724" w14:textId="77777777" w:rsidR="00B158C2" w:rsidRDefault="00D9744D" w:rsidP="00B158C2">
      <w:pPr>
        <w:pStyle w:val="ListParagraph"/>
        <w:numPr>
          <w:ilvl w:val="0"/>
          <w:numId w:val="30"/>
        </w:numPr>
        <w:rPr>
          <w:snapToGrid w:val="0"/>
        </w:rPr>
      </w:pPr>
      <w:r w:rsidRPr="00B158C2">
        <w:rPr>
          <w:rFonts w:cs="Arial"/>
        </w:rPr>
        <w:t xml:space="preserve">What is the role of your company in the Australian market for the goods? </w:t>
      </w:r>
      <w:r w:rsidRPr="00B158C2">
        <w:rPr>
          <w:snapToGrid w:val="0"/>
        </w:rPr>
        <w:t>Include details of whether your company can be described as a trader, distributor, retailer or an end-user of the goods.</w:t>
      </w:r>
    </w:p>
    <w:p w14:paraId="0096E456" w14:textId="77777777" w:rsidR="00B158C2" w:rsidRPr="00B158C2" w:rsidRDefault="00B158C2" w:rsidP="00B158C2">
      <w:pPr>
        <w:pStyle w:val="ListParagraph"/>
        <w:rPr>
          <w:rFonts w:cs="Arial"/>
        </w:rPr>
      </w:pPr>
    </w:p>
    <w:p w14:paraId="3B1CA52D" w14:textId="2EA3CB34" w:rsidR="00C24DB9" w:rsidRPr="00B158C2" w:rsidRDefault="005712BD" w:rsidP="00B158C2">
      <w:pPr>
        <w:pStyle w:val="ListParagraph"/>
        <w:numPr>
          <w:ilvl w:val="0"/>
          <w:numId w:val="30"/>
        </w:numPr>
        <w:rPr>
          <w:snapToGrid w:val="0"/>
        </w:rPr>
      </w:pPr>
      <w:r w:rsidRPr="00B158C2">
        <w:rPr>
          <w:rFonts w:cs="Arial"/>
        </w:rPr>
        <w:t xml:space="preserve">Complete the worksheet named </w:t>
      </w:r>
      <w:r w:rsidR="00FD7FB7" w:rsidRPr="00B158C2">
        <w:rPr>
          <w:rFonts w:cs="Arial"/>
        </w:rPr>
        <w:t>‘</w:t>
      </w:r>
      <w:r w:rsidRPr="00B158C2">
        <w:rPr>
          <w:rFonts w:cs="Arial"/>
        </w:rPr>
        <w:t>A</w:t>
      </w:r>
      <w:r w:rsidR="00931BC3" w:rsidRPr="00B158C2">
        <w:rPr>
          <w:rFonts w:cs="Arial"/>
        </w:rPr>
        <w:t>-1</w:t>
      </w:r>
      <w:r w:rsidR="00B93D19" w:rsidRPr="00B158C2">
        <w:rPr>
          <w:rFonts w:cs="Arial"/>
        </w:rPr>
        <w:t>0</w:t>
      </w:r>
      <w:r w:rsidRPr="00B158C2">
        <w:rPr>
          <w:rFonts w:cs="Arial"/>
        </w:rPr>
        <w:t xml:space="preserve"> Supplier information</w:t>
      </w:r>
      <w:r w:rsidR="00FD7FB7" w:rsidRPr="00B158C2">
        <w:rPr>
          <w:rFonts w:cs="Arial"/>
        </w:rPr>
        <w:t>’.</w:t>
      </w:r>
      <w:r w:rsidR="00FB4A3C" w:rsidRPr="00B158C2">
        <w:rPr>
          <w:rFonts w:cs="Arial"/>
        </w:rPr>
        <w:t xml:space="preserve"> </w:t>
      </w:r>
      <w:r w:rsidR="00931BC3" w:rsidRPr="00B158C2">
        <w:rPr>
          <w:rFonts w:cs="Arial"/>
        </w:rPr>
        <w:t>This worksheet lists your suppliers and manufacture</w:t>
      </w:r>
      <w:r w:rsidR="0085783F" w:rsidRPr="00B158C2">
        <w:rPr>
          <w:rFonts w:cs="Arial"/>
        </w:rPr>
        <w:t>r</w:t>
      </w:r>
      <w:r w:rsidR="00ED15E6" w:rsidRPr="00B158C2">
        <w:rPr>
          <w:rFonts w:cs="Arial"/>
        </w:rPr>
        <w:t xml:space="preserve">s (if different), </w:t>
      </w:r>
      <w:r w:rsidR="00931BC3" w:rsidRPr="00B158C2">
        <w:rPr>
          <w:rFonts w:cs="Arial"/>
        </w:rPr>
        <w:t>their contact details and an estimation of the import volumes from</w:t>
      </w:r>
      <w:r w:rsidR="00931BC3" w:rsidRPr="00883A54">
        <w:t xml:space="preserve"> each supplier of the goods over the period</w:t>
      </w:r>
      <w:r w:rsidR="00C24DB9">
        <w:t>.</w:t>
      </w:r>
    </w:p>
    <w:p w14:paraId="1A068268" w14:textId="77777777" w:rsidR="005717B9" w:rsidRDefault="005717B9" w:rsidP="005717B9"/>
    <w:p w14:paraId="1A068269" w14:textId="7AE55570" w:rsidR="000827B9" w:rsidRDefault="00A165CB" w:rsidP="005717B9">
      <w:pPr>
        <w:pStyle w:val="ListParagraph"/>
        <w:numPr>
          <w:ilvl w:val="0"/>
          <w:numId w:val="30"/>
        </w:numPr>
      </w:pPr>
      <w:r>
        <w:t>The commission</w:t>
      </w:r>
      <w:r w:rsidR="005717B9">
        <w:t xml:space="preserve"> may seek to visit your company to discuss the case and to verify the data submitted in your import questionnaire responses </w:t>
      </w:r>
      <w:r w:rsidR="000827B9" w:rsidRPr="00645504">
        <w:t>between</w:t>
      </w:r>
      <w:r w:rsidR="005717B9" w:rsidRPr="00645504">
        <w:t xml:space="preserve"> </w:t>
      </w:r>
      <w:r w:rsidR="00C32452" w:rsidRPr="00645504">
        <w:rPr>
          <w:b/>
          <w:bCs/>
        </w:rPr>
        <w:t xml:space="preserve">1 October 2023 and </w:t>
      </w:r>
      <w:r w:rsidR="00645504">
        <w:rPr>
          <w:b/>
          <w:bCs/>
        </w:rPr>
        <w:br/>
      </w:r>
      <w:r w:rsidR="00C32452" w:rsidRPr="00645504">
        <w:rPr>
          <w:b/>
          <w:bCs/>
        </w:rPr>
        <w:t>30 September 2024</w:t>
      </w:r>
      <w:r w:rsidR="005717B9" w:rsidRPr="00645504">
        <w:t xml:space="preserve">.  </w:t>
      </w:r>
      <w:r w:rsidR="000827B9" w:rsidRPr="00645504">
        <w:t xml:space="preserve">Are </w:t>
      </w:r>
      <w:r w:rsidR="000827B9">
        <w:t>there any</w:t>
      </w:r>
      <w:r w:rsidR="005717B9">
        <w:t xml:space="preserve"> dates </w:t>
      </w:r>
      <w:r w:rsidR="000827B9">
        <w:t xml:space="preserve">that </w:t>
      </w:r>
      <w:r w:rsidR="005717B9">
        <w:t xml:space="preserve">are </w:t>
      </w:r>
      <w:r w:rsidR="000827B9">
        <w:t>un</w:t>
      </w:r>
      <w:r w:rsidR="005717B9">
        <w:t xml:space="preserve">suitable for this visit?  </w:t>
      </w:r>
    </w:p>
    <w:p w14:paraId="1A06826A" w14:textId="2A5F85F4" w:rsidR="000827B9" w:rsidRDefault="000827B9" w:rsidP="000827B9">
      <w:pPr>
        <w:pStyle w:val="ListParagraph"/>
        <w:numPr>
          <w:ilvl w:val="0"/>
          <w:numId w:val="46"/>
        </w:numPr>
      </w:pPr>
      <w:r>
        <w:t xml:space="preserve">A visit by </w:t>
      </w:r>
      <w:r w:rsidR="00A165CB">
        <w:t>the commission</w:t>
      </w:r>
      <w:r>
        <w:t xml:space="preserve"> is typically half a day but may take up to a full day.</w:t>
      </w:r>
    </w:p>
    <w:p w14:paraId="1A06826B" w14:textId="77777777" w:rsidR="005717B9" w:rsidRPr="00931BC3" w:rsidRDefault="000827B9" w:rsidP="000827B9">
      <w:pPr>
        <w:pStyle w:val="ListParagraph"/>
        <w:numPr>
          <w:ilvl w:val="0"/>
          <w:numId w:val="46"/>
        </w:numPr>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C333F7">
      <w:pPr>
        <w:pStyle w:val="Heading1"/>
      </w:pPr>
      <w:bookmarkStart w:id="41" w:name="_Ref520387649"/>
      <w:bookmarkStart w:id="42" w:name="_Toc506971835"/>
      <w:bookmarkStart w:id="43" w:name="_Toc508203827"/>
      <w:bookmarkStart w:id="44" w:name="_Toc508290361"/>
      <w:bookmarkStart w:id="45" w:name="_Toc515637645"/>
      <w:bookmarkStart w:id="46" w:name="_Toc104457344"/>
      <w:r>
        <w:lastRenderedPageBreak/>
        <w:t>Section B</w:t>
      </w:r>
      <w:r>
        <w:br/>
      </w:r>
      <w:bookmarkEnd w:id="41"/>
      <w:bookmarkEnd w:id="42"/>
      <w:bookmarkEnd w:id="43"/>
      <w:bookmarkEnd w:id="44"/>
      <w:bookmarkEnd w:id="45"/>
      <w:r w:rsidR="00B93D19">
        <w:t xml:space="preserve">Imports </w:t>
      </w:r>
      <w:r w:rsidR="00C333F7" w:rsidRPr="009D4791">
        <w:t>&amp; forward orders</w:t>
      </w:r>
      <w:bookmarkEnd w:id="46"/>
    </w:p>
    <w:p w14:paraId="1A06826D" w14:textId="77777777" w:rsidR="00C333F7" w:rsidRDefault="00C333F7" w:rsidP="00C333F7"/>
    <w:p w14:paraId="1A06826E" w14:textId="1838556C" w:rsidR="002F4B72" w:rsidRDefault="00877C00" w:rsidP="00877C00">
      <w:pPr>
        <w:pStyle w:val="ListParagraph"/>
        <w:numPr>
          <w:ilvl w:val="0"/>
          <w:numId w:val="9"/>
        </w:numPr>
      </w:pPr>
      <w:r>
        <w:t>A</w:t>
      </w:r>
      <w:r w:rsidRPr="00877C00">
        <w:t>fter receiving Part A of the questionnaire</w:t>
      </w:r>
      <w:r>
        <w:t xml:space="preserve">, </w:t>
      </w:r>
      <w:r w:rsidR="00A165CB">
        <w:t>the commission</w:t>
      </w:r>
      <w:r w:rsidR="002F4B72">
        <w:t xml:space="preserve">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094A8C">
        <w:t>according to</w:t>
      </w:r>
      <w:r w:rsidR="002F4B72">
        <w:t xml:space="preserve"> </w:t>
      </w:r>
      <w:r w:rsidR="000226DD">
        <w:t>your company’s records.</w:t>
      </w:r>
    </w:p>
    <w:p w14:paraId="1A06826F" w14:textId="4402D0BB" w:rsidR="008A5D25" w:rsidRDefault="008A5D25" w:rsidP="008A5D25">
      <w:pPr>
        <w:pStyle w:val="ListParagraph"/>
        <w:numPr>
          <w:ilvl w:val="0"/>
          <w:numId w:val="47"/>
        </w:numPr>
      </w:pPr>
      <w:r>
        <w:t xml:space="preserve">If the import listing provided does not include </w:t>
      </w:r>
      <w:r w:rsidR="00094A8C">
        <w:t>all</w:t>
      </w:r>
      <w:r>
        <w:t xml:space="preserve">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10533316" w:rsidR="002F4B72" w:rsidRDefault="002F4B72" w:rsidP="00FC31F6">
      <w:pPr>
        <w:pStyle w:val="ListParagraph"/>
        <w:numPr>
          <w:ilvl w:val="0"/>
          <w:numId w:val="9"/>
        </w:numPr>
      </w:pPr>
      <w:r>
        <w:t>C</w:t>
      </w:r>
      <w:r w:rsidR="00174C64">
        <w:t xml:space="preserve">omplete the worksheet named </w:t>
      </w:r>
      <w:r w:rsidR="00FD7FB7">
        <w:t>‘</w:t>
      </w:r>
      <w:r w:rsidR="00174C64">
        <w:t>B-2</w:t>
      </w:r>
      <w:r>
        <w:t xml:space="preserve"> Cost to import and sell</w:t>
      </w:r>
      <w:r w:rsidR="00FD7FB7">
        <w:t>’</w:t>
      </w:r>
      <w:r w:rsidR="00877C00">
        <w:t xml:space="preserve"> in relation to t</w:t>
      </w:r>
      <w:r w:rsidR="00877C00" w:rsidRPr="00877C00">
        <w:t>he selected importations highlighted in the import listing provided to you in question B.1 above.</w:t>
      </w:r>
    </w:p>
    <w:p w14:paraId="1A068272" w14:textId="77777777" w:rsidR="002F4B72" w:rsidRDefault="002F4B72" w:rsidP="002F4B72">
      <w:pPr>
        <w:pStyle w:val="ListParagraph"/>
        <w:numPr>
          <w:ilvl w:val="0"/>
          <w:numId w:val="47"/>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2F4B72">
      <w:pPr>
        <w:pStyle w:val="ListParagraph"/>
        <w:numPr>
          <w:ilvl w:val="0"/>
          <w:numId w:val="47"/>
        </w:numPr>
      </w:pPr>
      <w:r>
        <w:t xml:space="preserve">Please provide the costs </w:t>
      </w:r>
      <w:r w:rsidRPr="00D007D9">
        <w:rPr>
          <w:u w:val="single"/>
        </w:rPr>
        <w:t>excluding</w:t>
      </w:r>
      <w:r>
        <w:t xml:space="preserve"> GST.</w:t>
      </w:r>
    </w:p>
    <w:p w14:paraId="1A068275" w14:textId="77777777" w:rsidR="007774AE" w:rsidRPr="00A2249F" w:rsidRDefault="007774AE" w:rsidP="007774AE">
      <w:pPr>
        <w:pStyle w:val="ListParagraph"/>
        <w:numPr>
          <w:ilvl w:val="0"/>
          <w:numId w:val="47"/>
        </w:numPr>
        <w:rPr>
          <w:szCs w:val="24"/>
        </w:rPr>
      </w:pPr>
      <w:r w:rsidRPr="00A2249F">
        <w:rPr>
          <w:szCs w:val="24"/>
        </w:rPr>
        <w:t xml:space="preserve">You must provide this list in electronic format using the template provided. </w:t>
      </w:r>
    </w:p>
    <w:p w14:paraId="5C6988AB" w14:textId="56708B98" w:rsidR="00474F80" w:rsidRPr="006A5409" w:rsidRDefault="007774AE" w:rsidP="002A0B50">
      <w:pPr>
        <w:pStyle w:val="ListParagraph"/>
        <w:numPr>
          <w:ilvl w:val="0"/>
          <w:numId w:val="56"/>
        </w:numPr>
      </w:pPr>
      <w:r w:rsidRPr="006A5409">
        <w:rPr>
          <w:snapToGrid w:val="0"/>
          <w:szCs w:val="24"/>
        </w:rPr>
        <w:t>If you have used formulas to complete this worksheet, these formulas must be retained.</w:t>
      </w:r>
      <w:r w:rsidRPr="006A5409" w:rsidDel="007032AD">
        <w:rPr>
          <w:szCs w:val="24"/>
          <w:highlight w:val="yellow"/>
        </w:rPr>
        <w:t xml:space="preserve"> </w:t>
      </w:r>
    </w:p>
    <w:p w14:paraId="6F469E8D" w14:textId="77777777" w:rsidR="006A5409" w:rsidRPr="006A5409" w:rsidRDefault="006A5409" w:rsidP="006A5409"/>
    <w:p w14:paraId="1A068278" w14:textId="02F7183D" w:rsidR="00075E32" w:rsidRPr="00297CC5" w:rsidRDefault="00075E32" w:rsidP="00075E32">
      <w:pPr>
        <w:pStyle w:val="ListParagraph"/>
        <w:numPr>
          <w:ilvl w:val="0"/>
          <w:numId w:val="9"/>
        </w:numPr>
        <w:rPr>
          <w:snapToGrid w:val="0"/>
        </w:rPr>
      </w:pPr>
      <w:r>
        <w:t>C</w:t>
      </w:r>
      <w:r w:rsidRPr="00D007D9">
        <w:t>omplete</w:t>
      </w:r>
      <w:r w:rsidRPr="00D007D9">
        <w:rPr>
          <w:snapToGrid w:val="0"/>
        </w:rPr>
        <w:t xml:space="preserve"> the </w:t>
      </w:r>
      <w:r>
        <w:rPr>
          <w:snapToGrid w:val="0"/>
        </w:rPr>
        <w:t xml:space="preserve">worksheet named </w:t>
      </w:r>
      <w:r w:rsidR="00FD7FB7">
        <w:rPr>
          <w:snapToGrid w:val="0"/>
        </w:rPr>
        <w:t>‘</w:t>
      </w:r>
      <w:r>
        <w:rPr>
          <w:snapToGrid w:val="0"/>
        </w:rPr>
        <w:t>B-3 Forward Orders</w:t>
      </w:r>
      <w:r w:rsidR="00FD7FB7">
        <w:rPr>
          <w:snapToGrid w:val="0"/>
        </w:rPr>
        <w:t>’</w:t>
      </w:r>
      <w:r>
        <w:rPr>
          <w:snapToGrid w:val="0"/>
        </w:rPr>
        <w:t>.</w:t>
      </w:r>
      <w:r w:rsidR="0018230A">
        <w:rPr>
          <w:snapToGrid w:val="0"/>
        </w:rPr>
        <w:t xml:space="preserve"> </w:t>
      </w:r>
    </w:p>
    <w:p w14:paraId="1A068279" w14:textId="77777777" w:rsidR="00075E32" w:rsidRPr="00FD1F89" w:rsidRDefault="00075E32" w:rsidP="00075E32">
      <w:pPr>
        <w:pStyle w:val="ListParagraph"/>
        <w:numPr>
          <w:ilvl w:val="0"/>
          <w:numId w:val="36"/>
        </w:numPr>
      </w:pPr>
      <w:r w:rsidRPr="00FD1F89">
        <w:t xml:space="preserve">This worksheet </w:t>
      </w:r>
      <w:r>
        <w:t>lists your current forward orders of the goods</w:t>
      </w:r>
      <w:r w:rsidRPr="00FD1F89">
        <w:t>.</w:t>
      </w:r>
    </w:p>
    <w:p w14:paraId="1A06827A" w14:textId="77777777" w:rsidR="00075E32" w:rsidRDefault="00075E32" w:rsidP="00075E32">
      <w:pPr>
        <w:pStyle w:val="ListParagraph"/>
        <w:numPr>
          <w:ilvl w:val="0"/>
          <w:numId w:val="3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7" w:name="_Toc104457345"/>
      <w:r>
        <w:lastRenderedPageBreak/>
        <w:t>Section C</w:t>
      </w:r>
      <w:r>
        <w:br/>
        <w:t>Sales and SG&amp;A</w:t>
      </w:r>
      <w:bookmarkEnd w:id="47"/>
    </w:p>
    <w:p w14:paraId="1A06827D" w14:textId="77777777" w:rsidR="00B93D19" w:rsidRDefault="00B93D19" w:rsidP="00075E32">
      <w:pPr>
        <w:pStyle w:val="ListParagraph"/>
        <w:ind w:left="360"/>
        <w:rPr>
          <w:snapToGrid w:val="0"/>
        </w:rPr>
      </w:pPr>
    </w:p>
    <w:p w14:paraId="1A06827E" w14:textId="77777777" w:rsidR="00075E32" w:rsidRPr="00D75F88" w:rsidRDefault="00075E32" w:rsidP="00B93D19">
      <w:pPr>
        <w:pStyle w:val="ListParagraph"/>
        <w:numPr>
          <w:ilvl w:val="0"/>
          <w:numId w:val="55"/>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075E32">
      <w:pPr>
        <w:pStyle w:val="ListParagraph"/>
        <w:numPr>
          <w:ilvl w:val="0"/>
          <w:numId w:val="51"/>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075E32">
      <w:pPr>
        <w:pStyle w:val="ListParagraph"/>
        <w:numPr>
          <w:ilvl w:val="0"/>
          <w:numId w:val="51"/>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27B73543" w:rsidR="00075E32" w:rsidRDefault="00075E32" w:rsidP="00075E32">
      <w:pPr>
        <w:ind w:left="360"/>
        <w:rPr>
          <w:snapToGrid w:val="0"/>
        </w:rPr>
      </w:pPr>
      <w:r>
        <w:rPr>
          <w:snapToGrid w:val="0"/>
        </w:rPr>
        <w:t>If yes:</w:t>
      </w:r>
    </w:p>
    <w:p w14:paraId="1A068283" w14:textId="4C0AA161" w:rsidR="00075E32" w:rsidRPr="00075E32" w:rsidRDefault="00075E32" w:rsidP="00075E32">
      <w:pPr>
        <w:pStyle w:val="ListParagraph"/>
        <w:numPr>
          <w:ilvl w:val="0"/>
          <w:numId w:val="54"/>
        </w:numPr>
        <w:rPr>
          <w:snapToGrid w:val="0"/>
        </w:rPr>
      </w:pPr>
      <w:r>
        <w:rPr>
          <w:snapToGrid w:val="0"/>
        </w:rPr>
        <w:t>Complete the remaining questions in this section.</w:t>
      </w:r>
    </w:p>
    <w:p w14:paraId="1A068284" w14:textId="23DF7537" w:rsidR="00075E32" w:rsidRPr="00C333F7" w:rsidRDefault="00075E32" w:rsidP="00C333F7"/>
    <w:p w14:paraId="1A068285" w14:textId="58441FF3" w:rsidR="00877C00" w:rsidRDefault="00E905E6" w:rsidP="00B93D19">
      <w:pPr>
        <w:pStyle w:val="ListParagraph"/>
        <w:numPr>
          <w:ilvl w:val="0"/>
          <w:numId w:val="55"/>
        </w:numPr>
      </w:pPr>
      <w:r>
        <w:t>Complete</w:t>
      </w:r>
      <w:r w:rsidRPr="003735F5">
        <w:t xml:space="preserve"> </w:t>
      </w:r>
      <w:r>
        <w:t>the worksheet</w:t>
      </w:r>
      <w:r w:rsidRPr="003735F5">
        <w:t xml:space="preserve"> named </w:t>
      </w:r>
      <w:r w:rsidR="00FD7FB7">
        <w:t>‘</w:t>
      </w:r>
      <w:r w:rsidR="00B93D19">
        <w:t>C-2</w:t>
      </w:r>
      <w:r>
        <w:t xml:space="preserve"> </w:t>
      </w:r>
      <w:r w:rsidR="00215160">
        <w:t>S</w:t>
      </w:r>
      <w:r w:rsidRPr="003735F5">
        <w:t>ales</w:t>
      </w:r>
      <w:r w:rsidR="00FD7FB7">
        <w:t>’</w:t>
      </w:r>
      <w:r w:rsidRPr="003735F5">
        <w:t xml:space="preserve"> </w:t>
      </w:r>
      <w:r w:rsidR="00877C00">
        <w:t>in relation to importation of the goods that are subsequently sold by your company in the condition in which they were imported over the period.</w:t>
      </w:r>
      <w:r w:rsidR="00877C00" w:rsidRPr="00877C00">
        <w:t xml:space="preserve"> </w:t>
      </w:r>
    </w:p>
    <w:p w14:paraId="1A068286" w14:textId="189B39CF" w:rsidR="007774AE" w:rsidRPr="00A93C4D" w:rsidRDefault="00877C00" w:rsidP="00FC31F6">
      <w:pPr>
        <w:pStyle w:val="ListParagraph"/>
        <w:numPr>
          <w:ilvl w:val="0"/>
          <w:numId w:val="21"/>
        </w:numPr>
      </w:pPr>
      <w:r>
        <w:t xml:space="preserve">This worksheet lists </w:t>
      </w:r>
      <w:r w:rsidR="00094A8C" w:rsidRPr="003735F5">
        <w:t>all</w:t>
      </w:r>
      <w:r w:rsidR="007774AE">
        <w:t xml:space="preserve">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0E5991E9" w:rsidR="007774AE" w:rsidRPr="007774AE" w:rsidRDefault="007774AE" w:rsidP="00FC31F6">
      <w:pPr>
        <w:pStyle w:val="ListParagraph"/>
        <w:numPr>
          <w:ilvl w:val="0"/>
          <w:numId w:val="21"/>
        </w:numPr>
      </w:pPr>
      <w:r>
        <w:rPr>
          <w:szCs w:val="24"/>
        </w:rPr>
        <w:t>If you import the goods from multiple countries, please identify the country of origin of each sale.</w:t>
      </w:r>
      <w:r w:rsidR="00A93C4D">
        <w:rPr>
          <w:szCs w:val="24"/>
        </w:rPr>
        <w:t xml:space="preserve"> You only need to provide the sales of the goods imported from the subject countries.</w:t>
      </w:r>
    </w:p>
    <w:p w14:paraId="1A068288" w14:textId="62D7A3E4" w:rsidR="00E905E6" w:rsidRDefault="007774AE" w:rsidP="00877C00">
      <w:pPr>
        <w:pStyle w:val="ListParagraph"/>
        <w:numPr>
          <w:ilvl w:val="0"/>
          <w:numId w:val="21"/>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w:t>
      </w:r>
      <w:r w:rsidR="00A165CB">
        <w:rPr>
          <w:szCs w:val="24"/>
        </w:rPr>
        <w:t>The 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433347DD" w:rsidR="00650FC5" w:rsidRDefault="00650FC5" w:rsidP="00650FC5">
      <w:pPr>
        <w:pStyle w:val="ListParagraph"/>
        <w:numPr>
          <w:ilvl w:val="0"/>
          <w:numId w:val="21"/>
        </w:numPr>
      </w:pPr>
      <w:r>
        <w:t>This worksheet also requests order details where the sale can be directly linked to an importation.</w:t>
      </w:r>
    </w:p>
    <w:p w14:paraId="1A068289" w14:textId="7D510F9C" w:rsidR="00E905E6" w:rsidRPr="00E2602A" w:rsidRDefault="00E905E6" w:rsidP="00441EA0">
      <w:pPr>
        <w:pStyle w:val="ListParagraph"/>
        <w:numPr>
          <w:ilvl w:val="0"/>
          <w:numId w:val="21"/>
        </w:numPr>
        <w:rPr>
          <w:szCs w:val="24"/>
        </w:rPr>
      </w:pPr>
      <w:r w:rsidRPr="00E2602A">
        <w:rPr>
          <w:szCs w:val="24"/>
        </w:rPr>
        <w:t xml:space="preserve">This worksheet must also include </w:t>
      </w:r>
      <w:r w:rsidR="007774AE" w:rsidRPr="00E2602A">
        <w:rPr>
          <w:szCs w:val="24"/>
        </w:rPr>
        <w:t>sales</w:t>
      </w:r>
      <w:r w:rsidRPr="00E2602A">
        <w:rPr>
          <w:szCs w:val="24"/>
        </w:rPr>
        <w:t xml:space="preserve"> of the goods that have been exempted from anti-dumping duties under 8(7) and section 10(8) of the </w:t>
      </w:r>
      <w:r w:rsidRPr="00E2602A">
        <w:rPr>
          <w:i/>
          <w:szCs w:val="24"/>
        </w:rPr>
        <w:t>Customs Tariff (Anti-Dumping) Act 1975</w:t>
      </w:r>
      <w:r w:rsidR="00FC1DD9">
        <w:rPr>
          <w:i/>
          <w:szCs w:val="24"/>
        </w:rPr>
        <w:t>.</w:t>
      </w:r>
      <w:r w:rsidRPr="00E2602A">
        <w:rPr>
          <w:rStyle w:val="FootnoteReference"/>
          <w:i/>
          <w:szCs w:val="24"/>
        </w:rPr>
        <w:footnoteReference w:id="2"/>
      </w:r>
      <w:r w:rsidRPr="00E2602A">
        <w:rPr>
          <w:szCs w:val="24"/>
        </w:rPr>
        <w:t xml:space="preserve"> </w:t>
      </w:r>
    </w:p>
    <w:p w14:paraId="1A06828A" w14:textId="1C582168" w:rsidR="00E905E6" w:rsidRPr="00A2249F" w:rsidRDefault="00E905E6" w:rsidP="00441EA0">
      <w:pPr>
        <w:pStyle w:val="ListParagraph"/>
        <w:numPr>
          <w:ilvl w:val="0"/>
          <w:numId w:val="21"/>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441EA0">
      <w:pPr>
        <w:pStyle w:val="ListParagraph"/>
        <w:numPr>
          <w:ilvl w:val="0"/>
          <w:numId w:val="21"/>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5FE3C317" w:rsidR="00E905E6" w:rsidRPr="00C63312" w:rsidRDefault="00E905E6" w:rsidP="00E905E6"/>
    <w:p w14:paraId="1A06828D" w14:textId="570DC9B4" w:rsidR="00E905E6" w:rsidRPr="007032AD" w:rsidRDefault="00E905E6" w:rsidP="00B93D19">
      <w:pPr>
        <w:pStyle w:val="ListParagraph"/>
        <w:numPr>
          <w:ilvl w:val="0"/>
          <w:numId w:val="55"/>
        </w:numPr>
      </w:pPr>
      <w:r w:rsidRPr="007032AD">
        <w:t xml:space="preserve">Complete the worksheet named </w:t>
      </w:r>
      <w:r w:rsidR="00FD7FB7">
        <w:t>‘</w:t>
      </w:r>
      <w:r w:rsidR="00B93D19">
        <w:t>C-3</w:t>
      </w:r>
      <w:r>
        <w:t xml:space="preserve"> </w:t>
      </w:r>
      <w:r w:rsidRPr="00C01F98">
        <w:t>SG&amp;A</w:t>
      </w:r>
      <w:r>
        <w:t xml:space="preserve"> listing</w:t>
      </w:r>
      <w:r w:rsidR="00FD7FB7">
        <w:t>’</w:t>
      </w:r>
      <w:r w:rsidRPr="007032AD">
        <w:t>.</w:t>
      </w:r>
    </w:p>
    <w:p w14:paraId="1A06828E" w14:textId="00F15713" w:rsidR="00E905E6" w:rsidRDefault="00E905E6" w:rsidP="00441EA0">
      <w:pPr>
        <w:pStyle w:val="ListParagraph"/>
        <w:numPr>
          <w:ilvl w:val="0"/>
          <w:numId w:val="3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p>
    <w:p w14:paraId="632AD111" w14:textId="78FD977B" w:rsidR="005F46DE" w:rsidRDefault="005F46DE" w:rsidP="005F46DE">
      <w:pPr>
        <w:pStyle w:val="ListParagraph"/>
        <w:numPr>
          <w:ilvl w:val="0"/>
          <w:numId w:val="36"/>
        </w:numPr>
      </w:pPr>
      <w:r>
        <w:t>Exclude any SG&amp;A amount in respect of:</w:t>
      </w:r>
    </w:p>
    <w:p w14:paraId="7CA36F69" w14:textId="77777777" w:rsidR="005F46DE" w:rsidRDefault="005F46DE" w:rsidP="005F46DE">
      <w:pPr>
        <w:pStyle w:val="ListParagraph"/>
        <w:numPr>
          <w:ilvl w:val="1"/>
          <w:numId w:val="36"/>
        </w:numPr>
      </w:pPr>
      <w:r>
        <w:t>unrealised foreign exchange gains/loss</w:t>
      </w:r>
    </w:p>
    <w:p w14:paraId="24F6181E" w14:textId="77777777" w:rsidR="005F46DE" w:rsidRDefault="005F46DE" w:rsidP="005F46DE">
      <w:pPr>
        <w:pStyle w:val="ListParagraph"/>
        <w:numPr>
          <w:ilvl w:val="1"/>
          <w:numId w:val="36"/>
        </w:numPr>
      </w:pPr>
      <w:r>
        <w:t xml:space="preserve">provision for doubtful debt </w:t>
      </w:r>
    </w:p>
    <w:p w14:paraId="1007EBE0" w14:textId="76F70EEE" w:rsidR="005F46DE" w:rsidRDefault="005F46DE" w:rsidP="005F46DE">
      <w:pPr>
        <w:pStyle w:val="ListParagraph"/>
        <w:numPr>
          <w:ilvl w:val="1"/>
          <w:numId w:val="36"/>
        </w:numPr>
      </w:pPr>
      <w:r>
        <w:t>any other income/expense not directly/indirectly related to the import or sale of the goods</w:t>
      </w:r>
    </w:p>
    <w:p w14:paraId="1A06828F" w14:textId="1743FCB0"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441EA0">
      <w:pPr>
        <w:pStyle w:val="ListParagraph"/>
        <w:numPr>
          <w:ilvl w:val="0"/>
          <w:numId w:val="36"/>
        </w:numPr>
      </w:pPr>
      <w:r w:rsidRPr="007032AD">
        <w:t xml:space="preserve">If you have used formulas to complete this worksheet, these formulas must be retained. </w:t>
      </w:r>
    </w:p>
    <w:p w14:paraId="1A068291" w14:textId="17CB3CF0" w:rsidR="00E905E6" w:rsidRDefault="00E905E6" w:rsidP="00E905E6"/>
    <w:p w14:paraId="1A068292" w14:textId="05EA817B" w:rsidR="00E905E6" w:rsidRDefault="00E905E6" w:rsidP="00B93D19">
      <w:pPr>
        <w:pStyle w:val="ListParagraph"/>
        <w:numPr>
          <w:ilvl w:val="0"/>
          <w:numId w:val="55"/>
        </w:numPr>
      </w:pPr>
      <w:r w:rsidRPr="007032AD">
        <w:t xml:space="preserve">Complete the worksheet named </w:t>
      </w:r>
      <w:r w:rsidR="00FD7FB7">
        <w:t>‘</w:t>
      </w:r>
      <w:r w:rsidR="00B93D19">
        <w:t>C-4</w:t>
      </w:r>
      <w:r>
        <w:t xml:space="preserve"> SG&amp;A calculation</w:t>
      </w:r>
      <w:r w:rsidR="00FD7FB7">
        <w:t>’</w:t>
      </w:r>
      <w:r w:rsidRPr="007032AD">
        <w:t>.</w:t>
      </w:r>
      <w:r w:rsidRPr="004744D3">
        <w:t xml:space="preserve"> </w:t>
      </w:r>
    </w:p>
    <w:p w14:paraId="1A068293" w14:textId="086AB0A8" w:rsidR="00E905E6" w:rsidRDefault="00D007D9" w:rsidP="00441EA0">
      <w:pPr>
        <w:pStyle w:val="ListParagraph"/>
        <w:numPr>
          <w:ilvl w:val="0"/>
          <w:numId w:val="36"/>
        </w:numPr>
      </w:pPr>
      <w:r>
        <w:t>This worksheet calculates your company’s SG&amp;A expenses as a percentage of revenue.</w:t>
      </w:r>
    </w:p>
    <w:p w14:paraId="1A068294" w14:textId="38AFDA59"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5" w14:textId="7523B4EA" w:rsidR="00E905E6" w:rsidRDefault="00E905E6" w:rsidP="00441EA0">
      <w:pPr>
        <w:pStyle w:val="ListParagraph"/>
        <w:numPr>
          <w:ilvl w:val="0"/>
          <w:numId w:val="3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48" w:name="_Toc104457346"/>
      <w:r>
        <w:lastRenderedPageBreak/>
        <w:t xml:space="preserve">Section </w:t>
      </w:r>
      <w:r w:rsidR="00B93D19">
        <w:t>D</w:t>
      </w:r>
      <w:r w:rsidR="00D9744D">
        <w:br/>
      </w:r>
      <w:r>
        <w:t>Further</w:t>
      </w:r>
      <w:r w:rsidR="00F94714">
        <w:t xml:space="preserve"> company and import</w:t>
      </w:r>
      <w:r w:rsidR="00D9744D">
        <w:t xml:space="preserve"> information</w:t>
      </w:r>
      <w:bookmarkEnd w:id="48"/>
    </w:p>
    <w:p w14:paraId="1A068298" w14:textId="77777777" w:rsidR="00D9744D" w:rsidRDefault="00D9744D">
      <w:pPr>
        <w:widowControl w:val="0"/>
        <w:ind w:right="-680"/>
        <w:jc w:val="both"/>
        <w:rPr>
          <w:snapToGrid w:val="0"/>
        </w:rPr>
      </w:pPr>
    </w:p>
    <w:p w14:paraId="1A068299" w14:textId="08DDE0E7" w:rsidR="005712BD" w:rsidRDefault="005712BD" w:rsidP="00441EA0">
      <w:pPr>
        <w:pStyle w:val="ListParagraph"/>
        <w:numPr>
          <w:ilvl w:val="0"/>
          <w:numId w:val="45"/>
        </w:numPr>
        <w:rPr>
          <w:snapToGrid w:val="0"/>
        </w:rPr>
      </w:pPr>
      <w:r>
        <w:rPr>
          <w:snapToGrid w:val="0"/>
        </w:rPr>
        <w:t xml:space="preserve">Is your company part of a group (e.g. parent company with subsidiaries, common ownership, </w:t>
      </w:r>
      <w:r w:rsidR="00094A8C">
        <w:rPr>
          <w:snapToGrid w:val="0"/>
        </w:rPr>
        <w:t>joint ventures</w:t>
      </w:r>
      <w:r>
        <w:rPr>
          <w:snapToGrid w:val="0"/>
        </w:rPr>
        <w:t xml:space="preserve">)? If yes, provide: </w:t>
      </w:r>
    </w:p>
    <w:p w14:paraId="1A06829A" w14:textId="77777777" w:rsidR="005712BD" w:rsidRDefault="005712BD" w:rsidP="00441EA0">
      <w:pPr>
        <w:pStyle w:val="ListParagraph"/>
        <w:numPr>
          <w:ilvl w:val="0"/>
          <w:numId w:val="42"/>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441EA0">
      <w:pPr>
        <w:pStyle w:val="ListParagraph"/>
        <w:numPr>
          <w:ilvl w:val="0"/>
          <w:numId w:val="42"/>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630FBA18" w:rsidR="005712BD" w:rsidRDefault="005712BD" w:rsidP="00441EA0">
      <w:pPr>
        <w:pStyle w:val="ListParagraph"/>
        <w:numPr>
          <w:ilvl w:val="0"/>
          <w:numId w:val="45"/>
        </w:numPr>
        <w:rPr>
          <w:snapToGrid w:val="0"/>
        </w:rPr>
      </w:pPr>
      <w:r>
        <w:rPr>
          <w:snapToGrid w:val="0"/>
        </w:rPr>
        <w:t xml:space="preserve">Is your company or parent company </w:t>
      </w:r>
      <w:r w:rsidR="00094A8C">
        <w:rPr>
          <w:snapToGrid w:val="0"/>
        </w:rPr>
        <w:t>publicly</w:t>
      </w:r>
      <w:r>
        <w:rPr>
          <w:snapToGrid w:val="0"/>
        </w:rPr>
        <w:t xml:space="preserve">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441EA0">
      <w:pPr>
        <w:pStyle w:val="ListParagraph"/>
        <w:numPr>
          <w:ilvl w:val="0"/>
          <w:numId w:val="43"/>
        </w:numPr>
        <w:rPr>
          <w:snapToGrid w:val="0"/>
        </w:rPr>
      </w:pPr>
      <w:r>
        <w:rPr>
          <w:snapToGrid w:val="0"/>
        </w:rPr>
        <w:t xml:space="preserve">The stock exchange where it is listed; </w:t>
      </w:r>
      <w:r w:rsidRPr="00C01F98">
        <w:rPr>
          <w:snapToGrid w:val="0"/>
          <w:u w:val="single"/>
        </w:rPr>
        <w:t>and</w:t>
      </w:r>
    </w:p>
    <w:p w14:paraId="1A0682A0" w14:textId="0CA11D61" w:rsidR="005712BD" w:rsidRPr="000F3039" w:rsidRDefault="005712BD" w:rsidP="00441EA0">
      <w:pPr>
        <w:pStyle w:val="ListParagraph"/>
        <w:numPr>
          <w:ilvl w:val="0"/>
          <w:numId w:val="43"/>
        </w:numPr>
        <w:rPr>
          <w:snapToGrid w:val="0"/>
        </w:rPr>
      </w:pPr>
      <w:r>
        <w:rPr>
          <w:snapToGrid w:val="0"/>
        </w:rPr>
        <w:t xml:space="preserve">Any </w:t>
      </w:r>
      <w:r w:rsidR="00094A8C">
        <w:rPr>
          <w:snapToGrid w:val="0"/>
        </w:rPr>
        <w:t>principal</w:t>
      </w:r>
      <w:r>
        <w:rPr>
          <w:snapToGrid w:val="0"/>
        </w:rPr>
        <w:t xml:space="preserve"> shareholders</w:t>
      </w:r>
      <w:r>
        <w:rPr>
          <w:rStyle w:val="FootnoteReference"/>
          <w:snapToGrid w:val="0"/>
        </w:rPr>
        <w:footnoteReference w:id="3"/>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441EA0">
      <w:pPr>
        <w:pStyle w:val="ListParagraph"/>
        <w:numPr>
          <w:ilvl w:val="0"/>
          <w:numId w:val="44"/>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FC31F6">
      <w:pPr>
        <w:pStyle w:val="ListParagraph"/>
        <w:numPr>
          <w:ilvl w:val="0"/>
          <w:numId w:val="45"/>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FC31F6">
      <w:pPr>
        <w:pStyle w:val="ListParagraph"/>
        <w:numPr>
          <w:ilvl w:val="0"/>
          <w:numId w:val="45"/>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FC31F6">
      <w:pPr>
        <w:pStyle w:val="ListParagraph"/>
        <w:numPr>
          <w:ilvl w:val="0"/>
          <w:numId w:val="45"/>
        </w:numPr>
        <w:rPr>
          <w:snapToGrid w:val="0"/>
        </w:rPr>
      </w:pPr>
      <w:r>
        <w:rPr>
          <w:snapToGrid w:val="0"/>
        </w:rPr>
        <w:t>Does your company produce brochures, pamphlets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3B5648">
      <w:pPr>
        <w:pStyle w:val="ListParagraph"/>
        <w:numPr>
          <w:ilvl w:val="0"/>
          <w:numId w:val="4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3B5648">
      <w:pPr>
        <w:pStyle w:val="ListParagraph"/>
        <w:numPr>
          <w:ilvl w:val="0"/>
          <w:numId w:val="4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3B5648">
      <w:pPr>
        <w:pStyle w:val="ListParagraph"/>
        <w:numPr>
          <w:ilvl w:val="0"/>
          <w:numId w:val="45"/>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3B5648">
      <w:pPr>
        <w:pStyle w:val="ListParagraph"/>
        <w:numPr>
          <w:ilvl w:val="0"/>
          <w:numId w:val="45"/>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3B5648">
      <w:pPr>
        <w:pStyle w:val="ListParagraph"/>
        <w:numPr>
          <w:ilvl w:val="0"/>
          <w:numId w:val="45"/>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3B5648">
      <w:pPr>
        <w:pStyle w:val="ListParagraph"/>
        <w:numPr>
          <w:ilvl w:val="0"/>
          <w:numId w:val="4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3B5648">
      <w:pPr>
        <w:pStyle w:val="ListParagraph"/>
        <w:numPr>
          <w:ilvl w:val="0"/>
          <w:numId w:val="4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3B5648">
      <w:pPr>
        <w:pStyle w:val="ListParagraph"/>
        <w:numPr>
          <w:ilvl w:val="0"/>
          <w:numId w:val="45"/>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3B5648">
      <w:pPr>
        <w:pStyle w:val="ListParagraph"/>
        <w:numPr>
          <w:ilvl w:val="0"/>
          <w:numId w:val="45"/>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01D4AD04" w:rsidR="00D55AE7" w:rsidRDefault="00D55AE7" w:rsidP="003B5648">
      <w:pPr>
        <w:pStyle w:val="ListParagraph"/>
        <w:numPr>
          <w:ilvl w:val="0"/>
          <w:numId w:val="45"/>
        </w:numPr>
      </w:pPr>
      <w:r>
        <w:t>Does your company maintain different profit centres? If yes, provide profit &amp; loss statement</w:t>
      </w:r>
      <w:r w:rsidR="00AA78F8">
        <w:t>s</w:t>
      </w:r>
      <w:r>
        <w:t xml:space="preserve"> for the profit centre that the goods </w:t>
      </w:r>
      <w:r w:rsidR="00094A8C">
        <w:t>fall</w:t>
      </w:r>
      <w:r>
        <w:t xml:space="preserve"> into for:</w:t>
      </w:r>
    </w:p>
    <w:p w14:paraId="1A0682BF" w14:textId="77777777" w:rsidR="00D55AE7" w:rsidRDefault="00D55AE7" w:rsidP="00075E32">
      <w:pPr>
        <w:pStyle w:val="ListParagraph"/>
        <w:numPr>
          <w:ilvl w:val="0"/>
          <w:numId w:val="52"/>
        </w:numPr>
      </w:pPr>
      <w:r>
        <w:t xml:space="preserve">the most recent financial year; </w:t>
      </w:r>
      <w:r w:rsidRPr="00C01F98">
        <w:rPr>
          <w:u w:val="single"/>
        </w:rPr>
        <w:t>and</w:t>
      </w:r>
    </w:p>
    <w:p w14:paraId="1A0682C0" w14:textId="77777777" w:rsidR="00D55AE7" w:rsidRDefault="00DF4FA8" w:rsidP="00075E32">
      <w:pPr>
        <w:pStyle w:val="ListParagraph"/>
        <w:numPr>
          <w:ilvl w:val="0"/>
          <w:numId w:val="52"/>
        </w:numPr>
      </w:pPr>
      <w:r>
        <w:t>the period</w:t>
      </w:r>
      <w:r w:rsidR="00D55AE7">
        <w:t>.</w:t>
      </w:r>
    </w:p>
    <w:p w14:paraId="1A0682C1" w14:textId="77777777" w:rsidR="00D55AE7" w:rsidRDefault="00D55AE7" w:rsidP="00C01F98">
      <w:pPr>
        <w:pStyle w:val="ListParagraph"/>
        <w:ind w:left="360"/>
      </w:pPr>
    </w:p>
    <w:p w14:paraId="377B752C" w14:textId="77777777" w:rsidR="00856E86" w:rsidRDefault="00856E86">
      <w:r>
        <w:br w:type="page"/>
      </w:r>
    </w:p>
    <w:p w14:paraId="1A0682C2" w14:textId="2947830E" w:rsidR="00FF12B0" w:rsidRDefault="00FF12B0" w:rsidP="003B5648">
      <w:pPr>
        <w:pStyle w:val="ListParagraph"/>
        <w:numPr>
          <w:ilvl w:val="0"/>
          <w:numId w:val="45"/>
        </w:numPr>
      </w:pPr>
      <w:r>
        <w:lastRenderedPageBreak/>
        <w:t xml:space="preserve">If </w:t>
      </w:r>
      <w:r w:rsidR="00DF4FA8">
        <w:t>the period</w:t>
      </w:r>
      <w:r>
        <w:t xml:space="preserve"> is different to your financial period, please provide:</w:t>
      </w:r>
    </w:p>
    <w:p w14:paraId="1A0682C3" w14:textId="77777777" w:rsidR="00FF12B0" w:rsidRDefault="00FF12B0" w:rsidP="00075E32">
      <w:pPr>
        <w:pStyle w:val="ListParagraph"/>
        <w:numPr>
          <w:ilvl w:val="0"/>
          <w:numId w:val="53"/>
        </w:numPr>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075E32">
      <w:pPr>
        <w:pStyle w:val="ListParagraph"/>
        <w:numPr>
          <w:ilvl w:val="0"/>
          <w:numId w:val="53"/>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3B5648">
      <w:pPr>
        <w:pStyle w:val="ListParagraph"/>
        <w:numPr>
          <w:ilvl w:val="0"/>
          <w:numId w:val="45"/>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3B5648">
      <w:pPr>
        <w:pStyle w:val="ListParagraph"/>
        <w:numPr>
          <w:ilvl w:val="0"/>
          <w:numId w:val="45"/>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D75F88">
      <w:pPr>
        <w:pStyle w:val="ListParagraph"/>
        <w:numPr>
          <w:ilvl w:val="0"/>
          <w:numId w:val="45"/>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D75F88">
      <w:pPr>
        <w:pStyle w:val="ListParagraph"/>
        <w:numPr>
          <w:ilvl w:val="0"/>
          <w:numId w:val="45"/>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 </w:t>
      </w:r>
      <w:r w:rsidRPr="000B4058">
        <w:t>including:</w:t>
      </w:r>
    </w:p>
    <w:p w14:paraId="1A0682D3" w14:textId="77777777" w:rsidR="000B4058" w:rsidRPr="000B4058" w:rsidRDefault="000B4058" w:rsidP="00441EA0">
      <w:pPr>
        <w:pStyle w:val="ListParagraph"/>
        <w:numPr>
          <w:ilvl w:val="1"/>
          <w:numId w:val="6"/>
        </w:numPr>
      </w:pPr>
      <w:r w:rsidRPr="000B4058">
        <w:t xml:space="preserve">Price </w:t>
      </w:r>
      <w:r w:rsidR="00743ECB">
        <w:t xml:space="preserve">determination and/or </w:t>
      </w:r>
      <w:r w:rsidRPr="000B4058">
        <w:t>negotiation process</w:t>
      </w:r>
    </w:p>
    <w:p w14:paraId="1A0682D4" w14:textId="77777777" w:rsidR="000B4058" w:rsidRPr="000B4058" w:rsidRDefault="000B4058" w:rsidP="00441EA0">
      <w:pPr>
        <w:pStyle w:val="ListParagraph"/>
        <w:numPr>
          <w:ilvl w:val="1"/>
          <w:numId w:val="6"/>
        </w:numPr>
      </w:pPr>
      <w:r w:rsidRPr="000B4058">
        <w:t>Order placement process</w:t>
      </w:r>
    </w:p>
    <w:p w14:paraId="1A0682D5" w14:textId="77777777" w:rsidR="000B4058" w:rsidRPr="000B4058" w:rsidRDefault="0025165E" w:rsidP="00441EA0">
      <w:pPr>
        <w:pStyle w:val="ListParagraph"/>
        <w:numPr>
          <w:ilvl w:val="1"/>
          <w:numId w:val="6"/>
        </w:numPr>
      </w:pPr>
      <w:r>
        <w:t xml:space="preserve">Order fulfilment </w:t>
      </w:r>
      <w:r w:rsidR="000B4058" w:rsidRPr="000B4058">
        <w:t>process</w:t>
      </w:r>
      <w:r>
        <w:t xml:space="preserve"> and lead time</w:t>
      </w:r>
    </w:p>
    <w:p w14:paraId="1A0682D6" w14:textId="77777777" w:rsidR="000B4058" w:rsidRDefault="000B4058" w:rsidP="00441EA0">
      <w:pPr>
        <w:pStyle w:val="ListParagraph"/>
        <w:numPr>
          <w:ilvl w:val="1"/>
          <w:numId w:val="6"/>
        </w:numPr>
      </w:pPr>
      <w:r w:rsidRPr="000B4058">
        <w:t xml:space="preserve">Delivery </w:t>
      </w:r>
      <w:r w:rsidR="00D5168C">
        <w:t xml:space="preserve">terms and </w:t>
      </w:r>
      <w:r w:rsidRPr="000B4058">
        <w:t>process</w:t>
      </w:r>
    </w:p>
    <w:p w14:paraId="1A0682D7" w14:textId="77777777" w:rsidR="00A13310" w:rsidRDefault="00A13310" w:rsidP="00441EA0">
      <w:pPr>
        <w:pStyle w:val="ListParagraph"/>
        <w:numPr>
          <w:ilvl w:val="1"/>
          <w:numId w:val="6"/>
        </w:numPr>
      </w:pPr>
      <w:r>
        <w:t>Invoicing process</w:t>
      </w:r>
    </w:p>
    <w:p w14:paraId="1A0682D8" w14:textId="77777777" w:rsidR="00D5168C" w:rsidRDefault="00D5168C" w:rsidP="00441EA0">
      <w:pPr>
        <w:pStyle w:val="ListParagraph"/>
        <w:numPr>
          <w:ilvl w:val="1"/>
          <w:numId w:val="6"/>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84077B">
      <w:pPr>
        <w:pStyle w:val="ListParagraph"/>
        <w:numPr>
          <w:ilvl w:val="0"/>
          <w:numId w:val="45"/>
        </w:numPr>
      </w:pPr>
      <w:r>
        <w:t>Do you purchase the goods in Australian Dollars</w:t>
      </w:r>
      <w:r w:rsidR="006A44DF">
        <w:t>? If not:</w:t>
      </w:r>
    </w:p>
    <w:p w14:paraId="1A0682DB" w14:textId="23C98C8D" w:rsidR="006A44DF" w:rsidRDefault="006A44DF" w:rsidP="0084077B">
      <w:pPr>
        <w:pStyle w:val="ListParagraph"/>
        <w:numPr>
          <w:ilvl w:val="0"/>
          <w:numId w:val="50"/>
        </w:numPr>
      </w:pPr>
      <w:r>
        <w:t>Do your pay you</w:t>
      </w:r>
      <w:r w:rsidR="0084077B">
        <w:t>r suppliers from</w:t>
      </w:r>
      <w:r>
        <w:t xml:space="preserve"> a foreign currency denominated account? If yes, provide details</w:t>
      </w:r>
    </w:p>
    <w:p w14:paraId="1A0682DC" w14:textId="0621C83B" w:rsidR="006A44DF" w:rsidRDefault="006A44DF" w:rsidP="0084077B">
      <w:pPr>
        <w:pStyle w:val="ListParagraph"/>
        <w:numPr>
          <w:ilvl w:val="0"/>
          <w:numId w:val="50"/>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p>
    <w:p w14:paraId="1A0682DD" w14:textId="77777777" w:rsidR="00E37970" w:rsidRDefault="00E37970" w:rsidP="0084077B">
      <w:pPr>
        <w:pStyle w:val="ListParagraph"/>
        <w:numPr>
          <w:ilvl w:val="0"/>
          <w:numId w:val="50"/>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84077B">
      <w:pPr>
        <w:pStyle w:val="ListParagraph"/>
        <w:numPr>
          <w:ilvl w:val="0"/>
          <w:numId w:val="45"/>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84077B">
      <w:pPr>
        <w:pStyle w:val="ListParagraph"/>
        <w:numPr>
          <w:ilvl w:val="0"/>
          <w:numId w:val="45"/>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1D3F631A" w:rsidR="00E31890" w:rsidRDefault="001A4735" w:rsidP="00990043">
      <w:pPr>
        <w:pStyle w:val="ListParagraph"/>
        <w:numPr>
          <w:ilvl w:val="0"/>
          <w:numId w:val="45"/>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990043">
      <w:pPr>
        <w:pStyle w:val="ListParagraph"/>
        <w:numPr>
          <w:ilvl w:val="0"/>
          <w:numId w:val="45"/>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F94714">
      <w:pPr>
        <w:pStyle w:val="ListParagraph"/>
        <w:numPr>
          <w:ilvl w:val="0"/>
          <w:numId w:val="45"/>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514A3D3E" w14:textId="77777777" w:rsidR="00856E86" w:rsidRDefault="00856E86">
      <w:r>
        <w:br w:type="page"/>
      </w:r>
    </w:p>
    <w:p w14:paraId="1A0682E9" w14:textId="164ADE98" w:rsidR="00454887" w:rsidRPr="00C63312" w:rsidRDefault="00990043" w:rsidP="00F94714">
      <w:pPr>
        <w:pStyle w:val="ListParagraph"/>
        <w:numPr>
          <w:ilvl w:val="0"/>
          <w:numId w:val="45"/>
        </w:numPr>
      </w:pPr>
      <w:r>
        <w:lastRenderedPageBreak/>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441EA0">
      <w:pPr>
        <w:pStyle w:val="bullet"/>
        <w:numPr>
          <w:ilvl w:val="0"/>
          <w:numId w:val="7"/>
        </w:numPr>
      </w:pPr>
      <w:r>
        <w:t>Contracts</w:t>
      </w:r>
    </w:p>
    <w:p w14:paraId="1A0682EB" w14:textId="77777777" w:rsidR="001A4735" w:rsidRPr="007422EE" w:rsidRDefault="001A4735" w:rsidP="00441EA0">
      <w:pPr>
        <w:pStyle w:val="bullet"/>
        <w:numPr>
          <w:ilvl w:val="0"/>
          <w:numId w:val="7"/>
        </w:numPr>
      </w:pPr>
      <w:r w:rsidRPr="001636D4">
        <w:t>Purchase order</w:t>
      </w:r>
      <w:r>
        <w:t xml:space="preserve"> and o</w:t>
      </w:r>
      <w:r w:rsidRPr="007422EE">
        <w:t>rder confirmation</w:t>
      </w:r>
    </w:p>
    <w:p w14:paraId="1A0682EC" w14:textId="77777777" w:rsidR="001A4735" w:rsidRPr="001636D4" w:rsidRDefault="001A4735" w:rsidP="00441EA0">
      <w:pPr>
        <w:pStyle w:val="bullet"/>
        <w:numPr>
          <w:ilvl w:val="0"/>
          <w:numId w:val="7"/>
        </w:numPr>
      </w:pPr>
      <w:r w:rsidRPr="001636D4">
        <w:t>Commercial invoice</w:t>
      </w:r>
      <w:r>
        <w:t xml:space="preserve"> and packing list</w:t>
      </w:r>
    </w:p>
    <w:p w14:paraId="1A0682ED" w14:textId="77777777" w:rsidR="004B78AC" w:rsidRDefault="004B78AC" w:rsidP="004B78AC">
      <w:pPr>
        <w:pStyle w:val="bullet"/>
        <w:numPr>
          <w:ilvl w:val="0"/>
          <w:numId w:val="7"/>
        </w:numPr>
      </w:pPr>
      <w:r>
        <w:t>Proof of payment to your supplier and the relevant accounts payable ledger</w:t>
      </w:r>
    </w:p>
    <w:p w14:paraId="1A0682EE" w14:textId="77777777" w:rsidR="004B78AC" w:rsidRPr="001636D4" w:rsidRDefault="004B78AC" w:rsidP="004B78AC">
      <w:pPr>
        <w:pStyle w:val="bullet"/>
        <w:numPr>
          <w:ilvl w:val="0"/>
          <w:numId w:val="7"/>
        </w:numPr>
      </w:pPr>
      <w:r>
        <w:t>Bill of lading</w:t>
      </w:r>
    </w:p>
    <w:p w14:paraId="1A0682EF" w14:textId="77777777" w:rsidR="00454887" w:rsidRDefault="00454887" w:rsidP="00441EA0">
      <w:pPr>
        <w:pStyle w:val="bullet"/>
        <w:numPr>
          <w:ilvl w:val="0"/>
          <w:numId w:val="7"/>
        </w:numPr>
      </w:pPr>
      <w:r>
        <w:t xml:space="preserve">Documents showing </w:t>
      </w:r>
      <w:r w:rsidR="004B78AC">
        <w:t xml:space="preserve">any </w:t>
      </w:r>
      <w:r w:rsidR="005E4E34">
        <w:t>b</w:t>
      </w:r>
      <w:r>
        <w:t>ank charges</w:t>
      </w:r>
    </w:p>
    <w:p w14:paraId="1A0682F0" w14:textId="77777777" w:rsidR="004B78AC" w:rsidRDefault="001A4735" w:rsidP="00441EA0">
      <w:pPr>
        <w:pStyle w:val="bullet"/>
        <w:numPr>
          <w:ilvl w:val="0"/>
          <w:numId w:val="7"/>
        </w:numPr>
      </w:pPr>
      <w:r>
        <w:t xml:space="preserve">Invoices for </w:t>
      </w:r>
      <w:r w:rsidR="004B78AC">
        <w:t xml:space="preserve">all importation expenses, including: </w:t>
      </w:r>
    </w:p>
    <w:p w14:paraId="1A0682F1" w14:textId="77777777" w:rsidR="004B78AC" w:rsidRDefault="004B78AC" w:rsidP="004B78AC">
      <w:pPr>
        <w:pStyle w:val="bullet"/>
        <w:numPr>
          <w:ilvl w:val="1"/>
          <w:numId w:val="7"/>
        </w:numPr>
      </w:pPr>
      <w:r>
        <w:t>Import broker’s fees</w:t>
      </w:r>
    </w:p>
    <w:p w14:paraId="1A0682F2" w14:textId="77777777" w:rsidR="004B78AC" w:rsidRDefault="004B78AC" w:rsidP="004B78AC">
      <w:pPr>
        <w:pStyle w:val="bullet"/>
        <w:numPr>
          <w:ilvl w:val="1"/>
          <w:numId w:val="7"/>
        </w:numPr>
      </w:pPr>
      <w:r>
        <w:t>Import duties</w:t>
      </w:r>
    </w:p>
    <w:p w14:paraId="1A0682F3" w14:textId="77777777" w:rsidR="004B78AC" w:rsidRDefault="004B78AC" w:rsidP="004B78AC">
      <w:pPr>
        <w:pStyle w:val="bullet"/>
        <w:numPr>
          <w:ilvl w:val="1"/>
          <w:numId w:val="7"/>
        </w:numPr>
      </w:pPr>
      <w:r>
        <w:t>Port handling charges</w:t>
      </w:r>
    </w:p>
    <w:p w14:paraId="1A0682F4" w14:textId="77777777" w:rsidR="00454887" w:rsidRDefault="004B78AC" w:rsidP="004B78AC">
      <w:pPr>
        <w:pStyle w:val="bullet"/>
        <w:numPr>
          <w:ilvl w:val="1"/>
          <w:numId w:val="7"/>
        </w:numPr>
      </w:pPr>
      <w:r>
        <w:t>I</w:t>
      </w:r>
      <w:r w:rsidR="001A4735">
        <w:t>nland transport</w:t>
      </w:r>
      <w:r>
        <w:t xml:space="preserve"> expenses from the port</w:t>
      </w:r>
    </w:p>
    <w:p w14:paraId="1A0682F5" w14:textId="77777777" w:rsidR="004B78AC" w:rsidRDefault="004B78AC" w:rsidP="004B78AC">
      <w:pPr>
        <w:pStyle w:val="bullet"/>
        <w:numPr>
          <w:ilvl w:val="0"/>
          <w:numId w:val="7"/>
        </w:numPr>
      </w:pPr>
      <w:r>
        <w:t>Invoices for ocean freight &amp; marine insurance (if applicable, for example where purchases are made on an ex-works or free-on-board basis)</w:t>
      </w:r>
    </w:p>
    <w:p w14:paraId="1A0682F6" w14:textId="77777777" w:rsidR="001A4735" w:rsidRDefault="00454887" w:rsidP="00441EA0">
      <w:pPr>
        <w:pStyle w:val="bullet"/>
        <w:numPr>
          <w:ilvl w:val="0"/>
          <w:numId w:val="7"/>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441EA0">
      <w:pPr>
        <w:pStyle w:val="bullet"/>
        <w:numPr>
          <w:ilvl w:val="0"/>
          <w:numId w:val="7"/>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49" w:name="_Toc104457347"/>
      <w:r>
        <w:lastRenderedPageBreak/>
        <w:t>Section E</w:t>
      </w:r>
      <w:r w:rsidR="00F94714">
        <w:br/>
        <w:t xml:space="preserve">Further </w:t>
      </w:r>
      <w:r w:rsidR="00163775">
        <w:t>sales</w:t>
      </w:r>
      <w:r w:rsidR="00F94714">
        <w:t xml:space="preserve"> information</w:t>
      </w:r>
      <w:bookmarkEnd w:id="49"/>
    </w:p>
    <w:p w14:paraId="1A0682FA" w14:textId="77777777" w:rsidR="00A44BEC" w:rsidRDefault="00A44BEC" w:rsidP="00A44BEC"/>
    <w:p w14:paraId="1A0682FB" w14:textId="7177E4B5"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(i.e. you answered </w:t>
      </w:r>
      <w:r w:rsidR="00FD7FB7">
        <w:t>‘</w:t>
      </w:r>
      <w:r w:rsidR="00B93D19">
        <w:t>No</w:t>
      </w:r>
      <w:r w:rsidR="00FD7FB7">
        <w:t>’</w:t>
      </w:r>
      <w:r w:rsidR="00B93D19">
        <w:t xml:space="preserve"> in question C.1)</w:t>
      </w:r>
      <w:r>
        <w:t>.</w:t>
      </w:r>
    </w:p>
    <w:p w14:paraId="1A0682FC" w14:textId="77777777" w:rsidR="00F94714" w:rsidRDefault="00F94714">
      <w:pPr>
        <w:ind w:right="-822"/>
      </w:pPr>
    </w:p>
    <w:p w14:paraId="1A0682FD" w14:textId="77777777" w:rsidR="0048752E" w:rsidRDefault="0048752E" w:rsidP="00441EA0">
      <w:pPr>
        <w:pStyle w:val="ListParagraph"/>
        <w:numPr>
          <w:ilvl w:val="0"/>
          <w:numId w:val="12"/>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441EA0">
      <w:pPr>
        <w:pStyle w:val="ListParagraph"/>
        <w:numPr>
          <w:ilvl w:val="1"/>
          <w:numId w:val="12"/>
        </w:numPr>
      </w:pPr>
      <w:r>
        <w:t>Marketing and advertising activities</w:t>
      </w:r>
    </w:p>
    <w:p w14:paraId="1A0682FF" w14:textId="77777777" w:rsidR="00A13310" w:rsidRPr="000B4058" w:rsidRDefault="00A13310" w:rsidP="00441EA0">
      <w:pPr>
        <w:pStyle w:val="ListParagraph"/>
        <w:numPr>
          <w:ilvl w:val="1"/>
          <w:numId w:val="12"/>
        </w:numPr>
      </w:pPr>
      <w:r w:rsidRPr="000B4058">
        <w:t xml:space="preserve">Price </w:t>
      </w:r>
      <w:r w:rsidR="008B6BAD">
        <w:t xml:space="preserve">determination and/or </w:t>
      </w:r>
      <w:r w:rsidRPr="000B4058">
        <w:t>negotiation process</w:t>
      </w:r>
    </w:p>
    <w:p w14:paraId="1A068300" w14:textId="77777777" w:rsidR="00A13310" w:rsidRPr="000B4058" w:rsidRDefault="00A13310" w:rsidP="00441EA0">
      <w:pPr>
        <w:pStyle w:val="ListParagraph"/>
        <w:numPr>
          <w:ilvl w:val="1"/>
          <w:numId w:val="12"/>
        </w:numPr>
      </w:pPr>
      <w:r w:rsidRPr="000B4058">
        <w:t>Order placement process</w:t>
      </w:r>
    </w:p>
    <w:p w14:paraId="1A068301" w14:textId="77777777" w:rsidR="00A13310" w:rsidRPr="000B4058" w:rsidRDefault="00A13310" w:rsidP="00441EA0">
      <w:pPr>
        <w:pStyle w:val="ListParagraph"/>
        <w:numPr>
          <w:ilvl w:val="1"/>
          <w:numId w:val="12"/>
        </w:numPr>
      </w:pPr>
      <w:r>
        <w:t xml:space="preserve">Order fulfilment </w:t>
      </w:r>
      <w:r w:rsidRPr="000B4058">
        <w:t>process</w:t>
      </w:r>
      <w:r>
        <w:t xml:space="preserve"> and lead time</w:t>
      </w:r>
    </w:p>
    <w:p w14:paraId="1A068302" w14:textId="77777777" w:rsidR="00A13310" w:rsidRDefault="00A13310" w:rsidP="00441EA0">
      <w:pPr>
        <w:pStyle w:val="ListParagraph"/>
        <w:numPr>
          <w:ilvl w:val="1"/>
          <w:numId w:val="12"/>
        </w:numPr>
      </w:pPr>
      <w:r w:rsidRPr="000B4058">
        <w:t xml:space="preserve">Delivery </w:t>
      </w:r>
      <w:r>
        <w:t xml:space="preserve">terms and </w:t>
      </w:r>
      <w:r w:rsidRPr="000B4058">
        <w:t>process</w:t>
      </w:r>
    </w:p>
    <w:p w14:paraId="1A068303" w14:textId="77777777" w:rsidR="00A13310" w:rsidRDefault="00A13310" w:rsidP="00441EA0">
      <w:pPr>
        <w:pStyle w:val="ListParagraph"/>
        <w:numPr>
          <w:ilvl w:val="1"/>
          <w:numId w:val="12"/>
        </w:numPr>
      </w:pPr>
      <w:r>
        <w:t>Invoicing process</w:t>
      </w:r>
    </w:p>
    <w:p w14:paraId="1A068304" w14:textId="77777777" w:rsidR="00A13310" w:rsidRDefault="00A13310" w:rsidP="00441EA0">
      <w:pPr>
        <w:pStyle w:val="ListParagraph"/>
        <w:numPr>
          <w:ilvl w:val="1"/>
          <w:numId w:val="12"/>
        </w:numPr>
      </w:pPr>
      <w:r>
        <w:t>Payment terms and process</w:t>
      </w:r>
    </w:p>
    <w:p w14:paraId="1A068305" w14:textId="77777777" w:rsidR="0048752E" w:rsidRDefault="0048752E" w:rsidP="00C01F98"/>
    <w:p w14:paraId="1A068306" w14:textId="77777777" w:rsidR="000B4058" w:rsidRDefault="000B4058" w:rsidP="00441EA0">
      <w:pPr>
        <w:pStyle w:val="ListParagraph"/>
        <w:numPr>
          <w:ilvl w:val="0"/>
          <w:numId w:val="12"/>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441EA0">
      <w:pPr>
        <w:pStyle w:val="ListParagraph"/>
        <w:numPr>
          <w:ilvl w:val="0"/>
          <w:numId w:val="12"/>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441EA0">
      <w:pPr>
        <w:pStyle w:val="ListParagraph"/>
        <w:numPr>
          <w:ilvl w:val="0"/>
          <w:numId w:val="12"/>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441EA0">
      <w:pPr>
        <w:pStyle w:val="ListParagraph"/>
        <w:numPr>
          <w:ilvl w:val="0"/>
          <w:numId w:val="12"/>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441EA0">
      <w:pPr>
        <w:pStyle w:val="ListParagraph"/>
        <w:numPr>
          <w:ilvl w:val="0"/>
          <w:numId w:val="12"/>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3D5D61CF" w:rsidR="00E74763" w:rsidRDefault="00E74763" w:rsidP="00E74763">
      <w:pPr>
        <w:pStyle w:val="ListParagraph"/>
        <w:numPr>
          <w:ilvl w:val="0"/>
          <w:numId w:val="12"/>
        </w:numPr>
      </w:pPr>
      <w:r>
        <w:t xml:space="preserve">Complete worksheet </w:t>
      </w:r>
      <w:r w:rsidR="00FD7FB7">
        <w:t>‘</w:t>
      </w:r>
      <w:r w:rsidR="00AA11A9">
        <w:t>E</w:t>
      </w:r>
      <w:r w:rsidR="00B93D19">
        <w:t>-</w:t>
      </w:r>
      <w:r w:rsidR="00163775">
        <w:t>7</w:t>
      </w:r>
      <w:r w:rsidRPr="00C36A6A">
        <w:t xml:space="preserve"> </w:t>
      </w:r>
      <w:r w:rsidR="00934480">
        <w:t>S</w:t>
      </w:r>
      <w:r w:rsidRPr="00C36A6A">
        <w:t>ales source</w:t>
      </w:r>
      <w:r w:rsidR="00FD7FB7">
        <w:t>’</w:t>
      </w:r>
      <w:r w:rsidRPr="00C36A6A">
        <w:t xml:space="preserve"> showing the relevant source of the data used for each column of worksheet </w:t>
      </w:r>
      <w:r w:rsidR="00FD7FB7">
        <w:t>‘</w:t>
      </w:r>
      <w:r w:rsidR="00B93D19">
        <w:t>C-2</w:t>
      </w:r>
      <w:r w:rsidRPr="00C36A6A">
        <w:t xml:space="preserve"> </w:t>
      </w:r>
      <w:r w:rsidR="00215160">
        <w:t>S</w:t>
      </w:r>
      <w:r w:rsidRPr="00C36A6A">
        <w:t>ales</w:t>
      </w:r>
      <w:r w:rsidR="00FD7FB7">
        <w:t>’</w:t>
      </w:r>
      <w:r w:rsidRPr="00C36A6A">
        <w:t xml:space="preserve">. </w:t>
      </w:r>
    </w:p>
    <w:p w14:paraId="1A068311" w14:textId="77777777" w:rsidR="00C00A82" w:rsidRDefault="00C00A82" w:rsidP="00C01F98"/>
    <w:p w14:paraId="1A068312" w14:textId="77777777" w:rsidR="00D5168C" w:rsidRPr="00215160" w:rsidRDefault="00D5168C" w:rsidP="00AA11A9">
      <w:pPr>
        <w:pStyle w:val="ListParagraph"/>
        <w:numPr>
          <w:ilvl w:val="0"/>
          <w:numId w:val="12"/>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441EA0">
      <w:pPr>
        <w:pStyle w:val="bullet"/>
        <w:numPr>
          <w:ilvl w:val="0"/>
          <w:numId w:val="7"/>
        </w:numPr>
      </w:pPr>
      <w:r w:rsidRPr="00215160">
        <w:t>Contracts</w:t>
      </w:r>
    </w:p>
    <w:p w14:paraId="1A068314" w14:textId="77777777" w:rsidR="00D5168C" w:rsidRPr="00215160" w:rsidRDefault="00D5168C" w:rsidP="00441EA0">
      <w:pPr>
        <w:pStyle w:val="bullet"/>
        <w:numPr>
          <w:ilvl w:val="0"/>
          <w:numId w:val="7"/>
        </w:numPr>
      </w:pPr>
      <w:r w:rsidRPr="00215160">
        <w:t>Purchase order and order confirmation</w:t>
      </w:r>
    </w:p>
    <w:p w14:paraId="1A068315" w14:textId="77777777" w:rsidR="00D5168C" w:rsidRPr="00215160" w:rsidRDefault="00D5168C" w:rsidP="00441EA0">
      <w:pPr>
        <w:pStyle w:val="bullet"/>
        <w:numPr>
          <w:ilvl w:val="0"/>
          <w:numId w:val="7"/>
        </w:numPr>
      </w:pPr>
      <w:r w:rsidRPr="00215160">
        <w:t>Commercial invoice and packing list</w:t>
      </w:r>
    </w:p>
    <w:p w14:paraId="1A068316" w14:textId="77777777" w:rsidR="00D5168C" w:rsidRPr="00215160" w:rsidRDefault="00D5168C" w:rsidP="00441EA0">
      <w:pPr>
        <w:pStyle w:val="bullet"/>
        <w:numPr>
          <w:ilvl w:val="0"/>
          <w:numId w:val="7"/>
        </w:numPr>
      </w:pPr>
      <w:r w:rsidRPr="00215160">
        <w:t>Proof of payment and accounts receivable ledger</w:t>
      </w:r>
    </w:p>
    <w:p w14:paraId="1A068317" w14:textId="77777777" w:rsidR="00D5168C" w:rsidRPr="00215160" w:rsidRDefault="00D5168C" w:rsidP="00441EA0">
      <w:pPr>
        <w:pStyle w:val="bullet"/>
        <w:numPr>
          <w:ilvl w:val="0"/>
          <w:numId w:val="7"/>
        </w:numPr>
      </w:pPr>
      <w:r w:rsidRPr="00215160">
        <w:t xml:space="preserve">Documents showing </w:t>
      </w:r>
      <w:r w:rsidR="0012258E" w:rsidRPr="00215160">
        <w:t>b</w:t>
      </w:r>
      <w:r w:rsidRPr="00215160">
        <w:t>ank charges</w:t>
      </w:r>
    </w:p>
    <w:p w14:paraId="1A068318" w14:textId="77777777" w:rsidR="00D5168C" w:rsidRPr="00215160" w:rsidRDefault="00D5168C" w:rsidP="00441EA0">
      <w:pPr>
        <w:pStyle w:val="bullet"/>
        <w:numPr>
          <w:ilvl w:val="0"/>
          <w:numId w:val="7"/>
        </w:numPr>
      </w:pPr>
      <w:r w:rsidRPr="00215160">
        <w:t>Delivery invoices</w:t>
      </w:r>
    </w:p>
    <w:p w14:paraId="1A068319" w14:textId="77777777" w:rsidR="00D5168C" w:rsidRDefault="00D5168C" w:rsidP="00D5168C">
      <w:pPr>
        <w:ind w:right="-822"/>
      </w:pPr>
    </w:p>
    <w:p w14:paraId="1A06831A" w14:textId="3C29600A" w:rsidR="00D5168C" w:rsidRDefault="00D5168C" w:rsidP="00AA11A9">
      <w:pPr>
        <w:pStyle w:val="ListParagraph"/>
        <w:numPr>
          <w:ilvl w:val="0"/>
          <w:numId w:val="12"/>
        </w:numPr>
        <w:rPr>
          <w:snapToGrid w:val="0"/>
        </w:rPr>
      </w:pPr>
      <w:r w:rsidRPr="001F538E">
        <w:t xml:space="preserve">For each document, please annotate the documents or provide a </w:t>
      </w:r>
      <w:r>
        <w:t>table</w:t>
      </w:r>
      <w:r w:rsidRPr="001F538E">
        <w:t xml:space="preserve"> reconciling the details in the </w:t>
      </w:r>
      <w:r w:rsidR="00FD7FB7">
        <w:t>‘</w:t>
      </w:r>
      <w:r w:rsidR="00B93D19">
        <w:t>C-2</w:t>
      </w:r>
      <w:r w:rsidR="00A22A3F">
        <w:t xml:space="preserve"> </w:t>
      </w:r>
      <w:r w:rsidR="00215160">
        <w:t>S</w:t>
      </w:r>
      <w:r w:rsidR="00A22A3F" w:rsidRPr="003735F5">
        <w:t>ales</w:t>
      </w:r>
      <w:r w:rsidR="00FD7FB7">
        <w:t>’</w:t>
      </w:r>
      <w:r w:rsidR="00A22A3F" w:rsidRPr="003735F5">
        <w:t xml:space="preserve">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6DA90B2E" w:rsidR="00D5168C" w:rsidRDefault="00D5168C" w:rsidP="00AA11A9">
      <w:pPr>
        <w:pStyle w:val="ListParagraph"/>
        <w:numPr>
          <w:ilvl w:val="0"/>
          <w:numId w:val="12"/>
        </w:numPr>
      </w:pPr>
      <w:r w:rsidRPr="001F538E">
        <w:t xml:space="preserve">Please complete the </w:t>
      </w:r>
      <w:r w:rsidR="000E25B2">
        <w:t xml:space="preserve">worksheet named </w:t>
      </w:r>
      <w:r w:rsidR="00FD7FB7">
        <w:t>‘</w:t>
      </w:r>
      <w:r w:rsidR="00B93D19">
        <w:t>E-</w:t>
      </w:r>
      <w:r w:rsidR="00AA11A9">
        <w:t>10</w:t>
      </w:r>
      <w:r w:rsidR="003E323C">
        <w:t xml:space="preserve"> </w:t>
      </w:r>
      <w:r w:rsidR="000E25B2">
        <w:t>Upwards sales</w:t>
      </w:r>
      <w:r w:rsidR="00FD7FB7">
        <w:t>’</w:t>
      </w:r>
      <w:r w:rsidR="000E25B2">
        <w:t xml:space="preserve"> to demonstrate that the </w:t>
      </w:r>
      <w:r w:rsidR="00FD7FB7">
        <w:t>‘</w:t>
      </w:r>
      <w:r w:rsidR="00B93D19">
        <w:t>C-2</w:t>
      </w:r>
      <w:r w:rsidR="00215160">
        <w:t xml:space="preserve"> Sales</w:t>
      </w:r>
      <w:r w:rsidR="00FD7FB7">
        <w:t>’</w:t>
      </w:r>
      <w:r w:rsidR="00215160">
        <w:t xml:space="preserve"> listing is</w:t>
      </w:r>
      <w:r w:rsidR="000E25B2">
        <w:t xml:space="preserve"> complete.</w:t>
      </w:r>
    </w:p>
    <w:p w14:paraId="1A06831D" w14:textId="77777777" w:rsidR="00A2249F" w:rsidRDefault="00A2249F" w:rsidP="00441EA0">
      <w:pPr>
        <w:pStyle w:val="ListParagraph"/>
        <w:numPr>
          <w:ilvl w:val="0"/>
          <w:numId w:val="27"/>
        </w:numPr>
      </w:pPr>
      <w:r w:rsidRPr="00A2249F">
        <w:t xml:space="preserve">You must provide this list in electronic format using the template provided. </w:t>
      </w:r>
    </w:p>
    <w:p w14:paraId="1A06831E" w14:textId="77777777" w:rsidR="000B0D5C" w:rsidRPr="004744D3" w:rsidRDefault="000B0D5C" w:rsidP="00441EA0">
      <w:pPr>
        <w:pStyle w:val="ListParagraph"/>
        <w:numPr>
          <w:ilvl w:val="0"/>
          <w:numId w:val="27"/>
        </w:numPr>
      </w:pPr>
      <w:r>
        <w:t>Please use the currency that your accounts are kept in.</w:t>
      </w:r>
    </w:p>
    <w:p w14:paraId="1A06831F" w14:textId="77777777" w:rsidR="00A2249F" w:rsidRPr="004744D3" w:rsidRDefault="00A2249F" w:rsidP="00441EA0">
      <w:pPr>
        <w:pStyle w:val="ListParagraph"/>
        <w:numPr>
          <w:ilvl w:val="0"/>
          <w:numId w:val="24"/>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70D682E7" w:rsidR="00D5168C" w:rsidRPr="001F538E" w:rsidRDefault="00D5168C" w:rsidP="00AA11A9">
      <w:pPr>
        <w:pStyle w:val="ListParagraph"/>
        <w:numPr>
          <w:ilvl w:val="0"/>
          <w:numId w:val="12"/>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xml:space="preserve">, required to complete the </w:t>
      </w:r>
      <w:r w:rsidR="00FD7FB7">
        <w:rPr>
          <w:snapToGrid w:val="0"/>
        </w:rPr>
        <w:t>‘</w:t>
      </w:r>
      <w:r w:rsidR="00B93D19">
        <w:rPr>
          <w:snapToGrid w:val="0"/>
        </w:rPr>
        <w:t>E-</w:t>
      </w:r>
      <w:r w:rsidR="00AA11A9">
        <w:rPr>
          <w:snapToGrid w:val="0"/>
        </w:rPr>
        <w:t>10</w:t>
      </w:r>
      <w:r w:rsidR="00E0279F">
        <w:rPr>
          <w:snapToGrid w:val="0"/>
        </w:rPr>
        <w:t xml:space="preserve"> </w:t>
      </w:r>
      <w:r w:rsidRPr="001F538E">
        <w:rPr>
          <w:snapToGrid w:val="0"/>
        </w:rPr>
        <w:t>Upwards sales</w:t>
      </w:r>
      <w:r w:rsidR="00FD7FB7">
        <w:rPr>
          <w:snapToGrid w:val="0"/>
        </w:rPr>
        <w:t>’</w:t>
      </w:r>
      <w:r w:rsidRPr="001F538E">
        <w:rPr>
          <w:snapToGrid w:val="0"/>
        </w:rPr>
        <w:t xml:space="preserve">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7542D216" w:rsidR="00D5168C" w:rsidRPr="001F538E" w:rsidRDefault="00D5168C" w:rsidP="00AA11A9">
      <w:pPr>
        <w:pStyle w:val="ListParagraph"/>
        <w:numPr>
          <w:ilvl w:val="0"/>
          <w:numId w:val="12"/>
        </w:numPr>
      </w:pPr>
      <w:r w:rsidRPr="001F538E">
        <w:lastRenderedPageBreak/>
        <w:t xml:space="preserve">For any amount </w:t>
      </w:r>
      <w:r w:rsidR="00385E4B">
        <w:t xml:space="preserve">in the </w:t>
      </w:r>
      <w:r w:rsidR="00FD7FB7">
        <w:t>‘</w:t>
      </w:r>
      <w:r w:rsidR="00B93D19">
        <w:t>E-</w:t>
      </w:r>
      <w:r w:rsidR="00AA11A9">
        <w:t>10</w:t>
      </w:r>
      <w:r w:rsidR="00813610">
        <w:t xml:space="preserve"> </w:t>
      </w:r>
      <w:r w:rsidR="00385E4B">
        <w:t>Upwards sales</w:t>
      </w:r>
      <w:r w:rsidR="00FD7FB7">
        <w:t>’</w:t>
      </w:r>
      <w:r w:rsidR="00385E4B">
        <w:t xml:space="preserve"> worksheet </w:t>
      </w:r>
      <w:r w:rsidRPr="001F538E">
        <w:t>that is hard coded (i.e. not a formula), please cross-reference by providing</w:t>
      </w:r>
      <w:r>
        <w:t>:</w:t>
      </w:r>
    </w:p>
    <w:p w14:paraId="1A068324" w14:textId="77777777" w:rsidR="00D5168C" w:rsidRPr="001F538E" w:rsidRDefault="00D5168C" w:rsidP="00441EA0">
      <w:pPr>
        <w:pStyle w:val="ListParagraph"/>
        <w:numPr>
          <w:ilvl w:val="0"/>
          <w:numId w:val="11"/>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441EA0">
      <w:pPr>
        <w:pStyle w:val="ListParagraph"/>
        <w:numPr>
          <w:ilvl w:val="0"/>
          <w:numId w:val="11"/>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215160">
      <w:pPr>
        <w:pStyle w:val="ListParagraph"/>
        <w:numPr>
          <w:ilvl w:val="0"/>
          <w:numId w:val="11"/>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C812" w14:textId="77777777" w:rsidR="00471C17" w:rsidRDefault="00471C17">
      <w:r>
        <w:separator/>
      </w:r>
    </w:p>
    <w:p w14:paraId="6CAC4F20" w14:textId="77777777" w:rsidR="00471C17" w:rsidRDefault="00471C17"/>
  </w:endnote>
  <w:endnote w:type="continuationSeparator" w:id="0">
    <w:p w14:paraId="0D45F514" w14:textId="77777777" w:rsidR="00471C17" w:rsidRDefault="00471C17">
      <w:r>
        <w:continuationSeparator/>
      </w:r>
    </w:p>
    <w:p w14:paraId="4FD7C1C1" w14:textId="77777777" w:rsidR="00471C17" w:rsidRDefault="00471C17"/>
  </w:endnote>
  <w:endnote w:type="continuationNotice" w:id="1">
    <w:p w14:paraId="24154C9C" w14:textId="77777777" w:rsidR="00471C17" w:rsidRDefault="00471C17"/>
    <w:p w14:paraId="6028C43A" w14:textId="77777777" w:rsidR="00471C17" w:rsidRDefault="00471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E" w14:textId="77777777" w:rsidR="00884389" w:rsidRPr="00C758F7" w:rsidRDefault="00884389" w:rsidP="000534C1">
    <w:pPr>
      <w:pStyle w:val="Header"/>
      <w:jc w:val="center"/>
      <w:rPr>
        <w:color w:val="808080"/>
        <w:sz w:val="28"/>
      </w:rPr>
    </w:pPr>
    <w:r>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5F46DE">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2" w14:textId="77777777" w:rsidR="00884389" w:rsidRPr="000534C1" w:rsidRDefault="00884389" w:rsidP="000534C1">
    <w:pPr>
      <w:pStyle w:val="Header"/>
      <w:jc w:val="center"/>
      <w:rPr>
        <w:color w:val="808080"/>
        <w:sz w:val="28"/>
      </w:rPr>
    </w:pPr>
    <w:r>
      <w:rPr>
        <w:b/>
        <w:color w:val="FF0000"/>
        <w:lang w:val="en-GB"/>
      </w:rPr>
      <w:t>OFFICIAL: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CFA46" w14:textId="77777777" w:rsidR="00471C17" w:rsidRDefault="00471C17">
      <w:r>
        <w:separator/>
      </w:r>
    </w:p>
    <w:p w14:paraId="458A3854" w14:textId="77777777" w:rsidR="00471C17" w:rsidRDefault="00471C17"/>
  </w:footnote>
  <w:footnote w:type="continuationSeparator" w:id="0">
    <w:p w14:paraId="288B0913" w14:textId="77777777" w:rsidR="00471C17" w:rsidRDefault="00471C17">
      <w:r>
        <w:continuationSeparator/>
      </w:r>
    </w:p>
    <w:p w14:paraId="78E7EAB3" w14:textId="77777777" w:rsidR="00471C17" w:rsidRDefault="00471C17"/>
  </w:footnote>
  <w:footnote w:type="continuationNotice" w:id="1">
    <w:p w14:paraId="1EC35E15" w14:textId="77777777" w:rsidR="00471C17" w:rsidRDefault="00471C17"/>
    <w:p w14:paraId="47FCFF1B" w14:textId="77777777" w:rsidR="00471C17" w:rsidRDefault="00471C17"/>
  </w:footnote>
  <w:footnote w:id="2">
    <w:p w14:paraId="1A068343" w14:textId="069BA78D" w:rsidR="00884389" w:rsidRPr="00C75A85" w:rsidRDefault="00884389" w:rsidP="00E905E6">
      <w:pPr>
        <w:pStyle w:val="FootnoteText"/>
        <w:rPr>
          <w:i/>
          <w:iCs/>
        </w:rPr>
      </w:pPr>
      <w:r>
        <w:rPr>
          <w:rStyle w:val="FootnoteReference"/>
        </w:rPr>
        <w:footnoteRef/>
      </w:r>
      <w:r>
        <w:t xml:space="preserve"> </w:t>
      </w:r>
      <w:r w:rsidR="00C75A85" w:rsidRPr="00137419">
        <w:rPr>
          <w:sz w:val="18"/>
          <w:szCs w:val="18"/>
        </w:rPr>
        <w:t xml:space="preserve">Refer to </w:t>
      </w:r>
      <w:r w:rsidR="00C75A85" w:rsidRPr="00137419">
        <w:rPr>
          <w:i/>
          <w:iCs/>
          <w:sz w:val="18"/>
          <w:szCs w:val="18"/>
        </w:rPr>
        <w:t xml:space="preserve">Ministerial Exemption Instruments </w:t>
      </w:r>
      <w:hyperlink r:id="rId1" w:history="1">
        <w:r w:rsidR="00C75A85" w:rsidRPr="00137419">
          <w:rPr>
            <w:rStyle w:val="Hyperlink"/>
            <w:i/>
            <w:iCs/>
            <w:sz w:val="18"/>
            <w:szCs w:val="18"/>
          </w:rPr>
          <w:t>No. 2 of 2019</w:t>
        </w:r>
      </w:hyperlink>
      <w:r w:rsidR="00C75A85" w:rsidRPr="00137419">
        <w:rPr>
          <w:i/>
          <w:iCs/>
          <w:sz w:val="18"/>
          <w:szCs w:val="18"/>
        </w:rPr>
        <w:t xml:space="preserve"> </w:t>
      </w:r>
      <w:r w:rsidR="00C75A85" w:rsidRPr="00137419">
        <w:rPr>
          <w:sz w:val="18"/>
          <w:szCs w:val="18"/>
        </w:rPr>
        <w:t xml:space="preserve">and </w:t>
      </w:r>
      <w:hyperlink r:id="rId2" w:history="1">
        <w:r w:rsidR="00C75A85" w:rsidRPr="00137419">
          <w:rPr>
            <w:rStyle w:val="Hyperlink"/>
            <w:i/>
            <w:iCs/>
            <w:sz w:val="18"/>
            <w:szCs w:val="18"/>
          </w:rPr>
          <w:t>No. 3 of 2019</w:t>
        </w:r>
      </w:hyperlink>
    </w:p>
  </w:footnote>
  <w:footnote w:id="3">
    <w:p w14:paraId="1A068344" w14:textId="6F6B0411" w:rsidR="00884389" w:rsidRDefault="00884389" w:rsidP="005712BD">
      <w:pPr>
        <w:pStyle w:val="FootnoteText"/>
      </w:pPr>
      <w:r>
        <w:rPr>
          <w:rStyle w:val="FootnoteReference"/>
        </w:rPr>
        <w:footnoteRef/>
      </w:r>
      <w:r>
        <w:t xml:space="preserve"> </w:t>
      </w:r>
      <w:r w:rsidRPr="00CC52AE">
        <w:rPr>
          <w:sz w:val="18"/>
          <w:szCs w:val="18"/>
        </w:rPr>
        <w:t xml:space="preserve">Principal </w:t>
      </w:r>
      <w:r w:rsidRPr="00CC52AE">
        <w:rPr>
          <w:snapToGrid w:val="0"/>
          <w:sz w:val="18"/>
          <w:szCs w:val="18"/>
        </w:rPr>
        <w:t xml:space="preserve">shareholders are those who </w:t>
      </w:r>
      <w:r w:rsidR="007A3662" w:rsidRPr="00CC52AE">
        <w:rPr>
          <w:snapToGrid w:val="0"/>
          <w:sz w:val="18"/>
          <w:szCs w:val="18"/>
        </w:rPr>
        <w:t>can</w:t>
      </w:r>
      <w:r w:rsidRPr="00CC52AE">
        <w:rPr>
          <w:snapToGrid w:val="0"/>
          <w:sz w:val="18"/>
          <w:szCs w:val="18"/>
        </w:rPr>
        <w:t xml:space="preserve"> cast, or control the casting of, 5% or more of the maximum </w:t>
      </w:r>
      <w:r w:rsidR="007A3662" w:rsidRPr="00CC52AE">
        <w:rPr>
          <w:snapToGrid w:val="0"/>
          <w:sz w:val="18"/>
          <w:szCs w:val="18"/>
        </w:rPr>
        <w:t>number</w:t>
      </w:r>
      <w:r w:rsidRPr="00CC52AE">
        <w:rPr>
          <w:snapToGrid w:val="0"/>
          <w:sz w:val="18"/>
          <w:szCs w:val="18"/>
        </w:rPr>
        <w:t xml:space="preserve"> of votes that could be cast at a general meeting of your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A" w14:textId="77777777" w:rsidR="00884389" w:rsidRDefault="008843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D" w14:textId="77777777" w:rsidR="00884389" w:rsidRPr="00C758F7" w:rsidRDefault="00884389" w:rsidP="00C758F7">
    <w:pPr>
      <w:pStyle w:val="Header"/>
      <w:jc w:val="center"/>
      <w:rPr>
        <w:color w:val="808080"/>
        <w:sz w:val="28"/>
      </w:rPr>
    </w:pPr>
    <w:r>
      <w:rPr>
        <w:b/>
        <w:color w:val="FF0000"/>
        <w:lang w:val="en-GB"/>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0" w14:textId="77777777" w:rsidR="00884389" w:rsidRDefault="00884389" w:rsidP="007B1D24">
    <w:pPr>
      <w:pStyle w:val="Header"/>
      <w:jc w:val="center"/>
      <w:rPr>
        <w:b/>
        <w:color w:val="FF0000"/>
        <w:lang w:val="en-GB"/>
      </w:rPr>
    </w:pPr>
    <w:r>
      <w:rPr>
        <w:b/>
        <w:color w:val="FF0000"/>
        <w:lang w:val="en-GB"/>
      </w:rPr>
      <w:t>OFFICIAL: Sensitive</w:t>
    </w:r>
  </w:p>
  <w:p w14:paraId="73F27871" w14:textId="2868EC03" w:rsidR="00517BFF" w:rsidRDefault="005B3A07" w:rsidP="007B1D24">
    <w:pPr>
      <w:pStyle w:val="Header"/>
      <w:jc w:val="center"/>
      <w:rPr>
        <w:b/>
        <w:color w:val="FF0000"/>
      </w:rPr>
    </w:pPr>
    <w:r>
      <w:rPr>
        <w:b/>
        <w:noProof/>
        <w:color w:val="FF0000"/>
        <w:lang w:eastAsia="en-AU"/>
      </w:rPr>
      <w:drawing>
        <wp:inline distT="0" distB="0" distL="0" distR="0" wp14:anchorId="5C32F48C" wp14:editId="487186A3">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646EACA" w14:textId="77777777" w:rsidR="005B3A07" w:rsidRDefault="005B3A07" w:rsidP="007B1D2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7" w15:restartNumberingAfterBreak="0">
    <w:nsid w:val="113966C7"/>
    <w:multiLevelType w:val="hybridMultilevel"/>
    <w:tmpl w:val="73BE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776223"/>
    <w:multiLevelType w:val="hybridMultilevel"/>
    <w:tmpl w:val="636E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4F6C4A"/>
    <w:multiLevelType w:val="hybridMultilevel"/>
    <w:tmpl w:val="D958A0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3B767B1"/>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9"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5"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8"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9"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0D0B8E"/>
    <w:multiLevelType w:val="hybridMultilevel"/>
    <w:tmpl w:val="DF44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DD26218"/>
    <w:multiLevelType w:val="hybridMultilevel"/>
    <w:tmpl w:val="DBC8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8"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D14499E"/>
    <w:multiLevelType w:val="hybridMultilevel"/>
    <w:tmpl w:val="E50C9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49"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397478341">
    <w:abstractNumId w:val="27"/>
  </w:num>
  <w:num w:numId="2" w16cid:durableId="109401555">
    <w:abstractNumId w:val="6"/>
  </w:num>
  <w:num w:numId="3" w16cid:durableId="1864244430">
    <w:abstractNumId w:val="37"/>
  </w:num>
  <w:num w:numId="4" w16cid:durableId="411318089">
    <w:abstractNumId w:val="26"/>
  </w:num>
  <w:num w:numId="5" w16cid:durableId="1708288220">
    <w:abstractNumId w:val="3"/>
  </w:num>
  <w:num w:numId="6" w16cid:durableId="1245263117">
    <w:abstractNumId w:val="11"/>
  </w:num>
  <w:num w:numId="7" w16cid:durableId="218248938">
    <w:abstractNumId w:val="53"/>
  </w:num>
  <w:num w:numId="8" w16cid:durableId="1365403249">
    <w:abstractNumId w:val="57"/>
  </w:num>
  <w:num w:numId="9" w16cid:durableId="559750512">
    <w:abstractNumId w:val="12"/>
  </w:num>
  <w:num w:numId="10" w16cid:durableId="1882667723">
    <w:abstractNumId w:val="56"/>
  </w:num>
  <w:num w:numId="11" w16cid:durableId="1853714171">
    <w:abstractNumId w:val="23"/>
  </w:num>
  <w:num w:numId="12" w16cid:durableId="924263522">
    <w:abstractNumId w:val="43"/>
  </w:num>
  <w:num w:numId="13" w16cid:durableId="1915893510">
    <w:abstractNumId w:val="54"/>
  </w:num>
  <w:num w:numId="14" w16cid:durableId="736829994">
    <w:abstractNumId w:val="49"/>
  </w:num>
  <w:num w:numId="15" w16cid:durableId="1982806315">
    <w:abstractNumId w:val="39"/>
  </w:num>
  <w:num w:numId="16" w16cid:durableId="1288462840">
    <w:abstractNumId w:val="46"/>
  </w:num>
  <w:num w:numId="17" w16cid:durableId="1650207298">
    <w:abstractNumId w:val="44"/>
  </w:num>
  <w:num w:numId="18" w16cid:durableId="1044479511">
    <w:abstractNumId w:val="31"/>
  </w:num>
  <w:num w:numId="19" w16cid:durableId="2080861678">
    <w:abstractNumId w:val="8"/>
  </w:num>
  <w:num w:numId="20" w16cid:durableId="230510682">
    <w:abstractNumId w:val="40"/>
  </w:num>
  <w:num w:numId="21" w16cid:durableId="50231307">
    <w:abstractNumId w:val="55"/>
  </w:num>
  <w:num w:numId="22" w16cid:durableId="1079526276">
    <w:abstractNumId w:val="32"/>
  </w:num>
  <w:num w:numId="23" w16cid:durableId="1628975813">
    <w:abstractNumId w:val="1"/>
  </w:num>
  <w:num w:numId="24" w16cid:durableId="722018814">
    <w:abstractNumId w:val="35"/>
  </w:num>
  <w:num w:numId="25" w16cid:durableId="2056656714">
    <w:abstractNumId w:val="0"/>
  </w:num>
  <w:num w:numId="26" w16cid:durableId="193663152">
    <w:abstractNumId w:val="2"/>
  </w:num>
  <w:num w:numId="27" w16cid:durableId="1152255214">
    <w:abstractNumId w:val="15"/>
  </w:num>
  <w:num w:numId="28" w16cid:durableId="1242257987">
    <w:abstractNumId w:val="45"/>
  </w:num>
  <w:num w:numId="29" w16cid:durableId="524900924">
    <w:abstractNumId w:val="36"/>
  </w:num>
  <w:num w:numId="30" w16cid:durableId="1539467095">
    <w:abstractNumId w:val="47"/>
  </w:num>
  <w:num w:numId="31" w16cid:durableId="925577331">
    <w:abstractNumId w:val="5"/>
  </w:num>
  <w:num w:numId="32" w16cid:durableId="2121878227">
    <w:abstractNumId w:val="42"/>
  </w:num>
  <w:num w:numId="33" w16cid:durableId="1851479920">
    <w:abstractNumId w:val="38"/>
  </w:num>
  <w:num w:numId="34" w16cid:durableId="1696617466">
    <w:abstractNumId w:val="50"/>
  </w:num>
  <w:num w:numId="35" w16cid:durableId="105975512">
    <w:abstractNumId w:val="25"/>
  </w:num>
  <w:num w:numId="36" w16cid:durableId="1430927097">
    <w:abstractNumId w:val="14"/>
  </w:num>
  <w:num w:numId="37" w16cid:durableId="699861828">
    <w:abstractNumId w:val="51"/>
  </w:num>
  <w:num w:numId="38" w16cid:durableId="452208324">
    <w:abstractNumId w:val="29"/>
  </w:num>
  <w:num w:numId="39" w16cid:durableId="1067073987">
    <w:abstractNumId w:val="13"/>
  </w:num>
  <w:num w:numId="40" w16cid:durableId="568808950">
    <w:abstractNumId w:val="33"/>
  </w:num>
  <w:num w:numId="41" w16cid:durableId="496923171">
    <w:abstractNumId w:val="16"/>
  </w:num>
  <w:num w:numId="42" w16cid:durableId="1757170597">
    <w:abstractNumId w:val="18"/>
  </w:num>
  <w:num w:numId="43" w16cid:durableId="24522956">
    <w:abstractNumId w:val="48"/>
  </w:num>
  <w:num w:numId="44" w16cid:durableId="273634198">
    <w:abstractNumId w:val="58"/>
  </w:num>
  <w:num w:numId="45" w16cid:durableId="696584030">
    <w:abstractNumId w:val="22"/>
  </w:num>
  <w:num w:numId="46" w16cid:durableId="82922229">
    <w:abstractNumId w:val="19"/>
  </w:num>
  <w:num w:numId="47" w16cid:durableId="1286619561">
    <w:abstractNumId w:val="10"/>
  </w:num>
  <w:num w:numId="48" w16cid:durableId="973873749">
    <w:abstractNumId w:val="41"/>
  </w:num>
  <w:num w:numId="49" w16cid:durableId="516504556">
    <w:abstractNumId w:val="17"/>
  </w:num>
  <w:num w:numId="50" w16cid:durableId="1117258790">
    <w:abstractNumId w:val="21"/>
  </w:num>
  <w:num w:numId="51" w16cid:durableId="1415668740">
    <w:abstractNumId w:val="20"/>
  </w:num>
  <w:num w:numId="52" w16cid:durableId="1542741730">
    <w:abstractNumId w:val="28"/>
  </w:num>
  <w:num w:numId="53" w16cid:durableId="1354959335">
    <w:abstractNumId w:val="24"/>
  </w:num>
  <w:num w:numId="54" w16cid:durableId="1571184775">
    <w:abstractNumId w:val="52"/>
  </w:num>
  <w:num w:numId="55" w16cid:durableId="1295912562">
    <w:abstractNumId w:val="4"/>
  </w:num>
  <w:num w:numId="56" w16cid:durableId="479081585">
    <w:abstractNumId w:val="34"/>
  </w:num>
  <w:num w:numId="57" w16cid:durableId="1164317323">
    <w:abstractNumId w:val="7"/>
  </w:num>
  <w:num w:numId="58" w16cid:durableId="451094123">
    <w:abstractNumId w:val="30"/>
  </w:num>
  <w:num w:numId="59" w16cid:durableId="114444673">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2DBD"/>
    <w:rsid w:val="00005DF9"/>
    <w:rsid w:val="00013AD4"/>
    <w:rsid w:val="00020927"/>
    <w:rsid w:val="000226DD"/>
    <w:rsid w:val="0002557F"/>
    <w:rsid w:val="000300F5"/>
    <w:rsid w:val="00033ADB"/>
    <w:rsid w:val="0003780C"/>
    <w:rsid w:val="00040263"/>
    <w:rsid w:val="000411CB"/>
    <w:rsid w:val="00041E49"/>
    <w:rsid w:val="00042E68"/>
    <w:rsid w:val="00043432"/>
    <w:rsid w:val="00050269"/>
    <w:rsid w:val="000534C1"/>
    <w:rsid w:val="00062DCC"/>
    <w:rsid w:val="0006455B"/>
    <w:rsid w:val="0006686A"/>
    <w:rsid w:val="000717D4"/>
    <w:rsid w:val="00075E32"/>
    <w:rsid w:val="00077FF0"/>
    <w:rsid w:val="0008030E"/>
    <w:rsid w:val="000827B9"/>
    <w:rsid w:val="000838CC"/>
    <w:rsid w:val="0009232D"/>
    <w:rsid w:val="00094A8C"/>
    <w:rsid w:val="000958DB"/>
    <w:rsid w:val="000963CD"/>
    <w:rsid w:val="000A32B8"/>
    <w:rsid w:val="000A3FF8"/>
    <w:rsid w:val="000A6818"/>
    <w:rsid w:val="000B0D5C"/>
    <w:rsid w:val="000B4058"/>
    <w:rsid w:val="000B49B8"/>
    <w:rsid w:val="000C77A0"/>
    <w:rsid w:val="000D09B2"/>
    <w:rsid w:val="000D2FD8"/>
    <w:rsid w:val="000D5213"/>
    <w:rsid w:val="000D75F3"/>
    <w:rsid w:val="000E0A2A"/>
    <w:rsid w:val="000E25B2"/>
    <w:rsid w:val="000F3039"/>
    <w:rsid w:val="0010121C"/>
    <w:rsid w:val="00105A1B"/>
    <w:rsid w:val="0010667C"/>
    <w:rsid w:val="0011699A"/>
    <w:rsid w:val="0012258E"/>
    <w:rsid w:val="0012463D"/>
    <w:rsid w:val="00125B70"/>
    <w:rsid w:val="00133475"/>
    <w:rsid w:val="00134868"/>
    <w:rsid w:val="001359A5"/>
    <w:rsid w:val="0013608E"/>
    <w:rsid w:val="00137419"/>
    <w:rsid w:val="00140529"/>
    <w:rsid w:val="0014257C"/>
    <w:rsid w:val="00142C7F"/>
    <w:rsid w:val="001503E3"/>
    <w:rsid w:val="0015285B"/>
    <w:rsid w:val="00154205"/>
    <w:rsid w:val="00155E7E"/>
    <w:rsid w:val="00156EC0"/>
    <w:rsid w:val="00157175"/>
    <w:rsid w:val="00162238"/>
    <w:rsid w:val="00163775"/>
    <w:rsid w:val="00166678"/>
    <w:rsid w:val="001675E0"/>
    <w:rsid w:val="00171404"/>
    <w:rsid w:val="00174C64"/>
    <w:rsid w:val="00175127"/>
    <w:rsid w:val="0018230A"/>
    <w:rsid w:val="00182832"/>
    <w:rsid w:val="001845EE"/>
    <w:rsid w:val="0018517B"/>
    <w:rsid w:val="0018746C"/>
    <w:rsid w:val="001921C4"/>
    <w:rsid w:val="00194309"/>
    <w:rsid w:val="00195966"/>
    <w:rsid w:val="00197C8D"/>
    <w:rsid w:val="001A42E9"/>
    <w:rsid w:val="001A4735"/>
    <w:rsid w:val="001C0BD5"/>
    <w:rsid w:val="001C3377"/>
    <w:rsid w:val="001C6FEA"/>
    <w:rsid w:val="001D3236"/>
    <w:rsid w:val="001E0F36"/>
    <w:rsid w:val="001F26FF"/>
    <w:rsid w:val="0020502F"/>
    <w:rsid w:val="0020769D"/>
    <w:rsid w:val="002150B1"/>
    <w:rsid w:val="00215160"/>
    <w:rsid w:val="00216747"/>
    <w:rsid w:val="00216EE1"/>
    <w:rsid w:val="00222C03"/>
    <w:rsid w:val="00222EE4"/>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1B5D"/>
    <w:rsid w:val="002939BD"/>
    <w:rsid w:val="002972B5"/>
    <w:rsid w:val="00297CC5"/>
    <w:rsid w:val="002A2F67"/>
    <w:rsid w:val="002A5687"/>
    <w:rsid w:val="002C0532"/>
    <w:rsid w:val="002D706F"/>
    <w:rsid w:val="002D70B0"/>
    <w:rsid w:val="002D7957"/>
    <w:rsid w:val="002E5132"/>
    <w:rsid w:val="002E74FA"/>
    <w:rsid w:val="002F4B72"/>
    <w:rsid w:val="003022BD"/>
    <w:rsid w:val="003046BA"/>
    <w:rsid w:val="00304BE9"/>
    <w:rsid w:val="00311975"/>
    <w:rsid w:val="0031505C"/>
    <w:rsid w:val="00317C21"/>
    <w:rsid w:val="00317D20"/>
    <w:rsid w:val="00331CCC"/>
    <w:rsid w:val="003330C4"/>
    <w:rsid w:val="0033478A"/>
    <w:rsid w:val="003444A2"/>
    <w:rsid w:val="00345E94"/>
    <w:rsid w:val="00360FB1"/>
    <w:rsid w:val="00365FF6"/>
    <w:rsid w:val="00366385"/>
    <w:rsid w:val="00367E07"/>
    <w:rsid w:val="003735F5"/>
    <w:rsid w:val="00382777"/>
    <w:rsid w:val="0038583B"/>
    <w:rsid w:val="00385E4B"/>
    <w:rsid w:val="00386500"/>
    <w:rsid w:val="00394C80"/>
    <w:rsid w:val="00397F45"/>
    <w:rsid w:val="003A5DD8"/>
    <w:rsid w:val="003A70B2"/>
    <w:rsid w:val="003B0E82"/>
    <w:rsid w:val="003B5648"/>
    <w:rsid w:val="003B6C91"/>
    <w:rsid w:val="003C05C0"/>
    <w:rsid w:val="003C09A2"/>
    <w:rsid w:val="003C1F30"/>
    <w:rsid w:val="003C53B8"/>
    <w:rsid w:val="003C6E4C"/>
    <w:rsid w:val="003D2A65"/>
    <w:rsid w:val="003D2CA3"/>
    <w:rsid w:val="003D3270"/>
    <w:rsid w:val="003E323C"/>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7987"/>
    <w:rsid w:val="00423B52"/>
    <w:rsid w:val="00424167"/>
    <w:rsid w:val="00426FF7"/>
    <w:rsid w:val="00436091"/>
    <w:rsid w:val="00437725"/>
    <w:rsid w:val="00437E5F"/>
    <w:rsid w:val="0044113C"/>
    <w:rsid w:val="00441162"/>
    <w:rsid w:val="00441EA0"/>
    <w:rsid w:val="004523B3"/>
    <w:rsid w:val="00453984"/>
    <w:rsid w:val="00454887"/>
    <w:rsid w:val="004601B1"/>
    <w:rsid w:val="00460B55"/>
    <w:rsid w:val="00462A83"/>
    <w:rsid w:val="00463D03"/>
    <w:rsid w:val="00464116"/>
    <w:rsid w:val="00465B31"/>
    <w:rsid w:val="00471C17"/>
    <w:rsid w:val="00474F80"/>
    <w:rsid w:val="00475396"/>
    <w:rsid w:val="00477F85"/>
    <w:rsid w:val="004864EC"/>
    <w:rsid w:val="0048752E"/>
    <w:rsid w:val="004A3113"/>
    <w:rsid w:val="004B0AA8"/>
    <w:rsid w:val="004B1515"/>
    <w:rsid w:val="004B78AC"/>
    <w:rsid w:val="004C01F6"/>
    <w:rsid w:val="004C1FE5"/>
    <w:rsid w:val="004D55DD"/>
    <w:rsid w:val="004D68E3"/>
    <w:rsid w:val="004F1D73"/>
    <w:rsid w:val="004F2703"/>
    <w:rsid w:val="004F2823"/>
    <w:rsid w:val="004F4ECE"/>
    <w:rsid w:val="004F648E"/>
    <w:rsid w:val="004F66A3"/>
    <w:rsid w:val="0050329E"/>
    <w:rsid w:val="0050383D"/>
    <w:rsid w:val="00504451"/>
    <w:rsid w:val="00505FE6"/>
    <w:rsid w:val="00506639"/>
    <w:rsid w:val="0050685F"/>
    <w:rsid w:val="0050702E"/>
    <w:rsid w:val="00511E0B"/>
    <w:rsid w:val="00512A74"/>
    <w:rsid w:val="00515B70"/>
    <w:rsid w:val="00517BFF"/>
    <w:rsid w:val="00526BD6"/>
    <w:rsid w:val="0053631A"/>
    <w:rsid w:val="00543487"/>
    <w:rsid w:val="00554A3A"/>
    <w:rsid w:val="00555D93"/>
    <w:rsid w:val="005619C3"/>
    <w:rsid w:val="00565BEA"/>
    <w:rsid w:val="005712BD"/>
    <w:rsid w:val="00571618"/>
    <w:rsid w:val="005717B9"/>
    <w:rsid w:val="005717E3"/>
    <w:rsid w:val="00571F6A"/>
    <w:rsid w:val="005748A0"/>
    <w:rsid w:val="00582CEE"/>
    <w:rsid w:val="00583C9B"/>
    <w:rsid w:val="00584CD2"/>
    <w:rsid w:val="00586124"/>
    <w:rsid w:val="00594263"/>
    <w:rsid w:val="00594C26"/>
    <w:rsid w:val="00595F38"/>
    <w:rsid w:val="005A00D6"/>
    <w:rsid w:val="005A0C08"/>
    <w:rsid w:val="005A2606"/>
    <w:rsid w:val="005A5D1E"/>
    <w:rsid w:val="005B0234"/>
    <w:rsid w:val="005B0CC7"/>
    <w:rsid w:val="005B109F"/>
    <w:rsid w:val="005B3A07"/>
    <w:rsid w:val="005C5B3D"/>
    <w:rsid w:val="005D3961"/>
    <w:rsid w:val="005D42EE"/>
    <w:rsid w:val="005D4E27"/>
    <w:rsid w:val="005E4E34"/>
    <w:rsid w:val="005E79B6"/>
    <w:rsid w:val="005F1155"/>
    <w:rsid w:val="005F46DE"/>
    <w:rsid w:val="0060137C"/>
    <w:rsid w:val="00603E09"/>
    <w:rsid w:val="00605476"/>
    <w:rsid w:val="00605CEF"/>
    <w:rsid w:val="00605FAA"/>
    <w:rsid w:val="00607E00"/>
    <w:rsid w:val="00610E0D"/>
    <w:rsid w:val="0061169B"/>
    <w:rsid w:val="0061243C"/>
    <w:rsid w:val="00614080"/>
    <w:rsid w:val="00615DD5"/>
    <w:rsid w:val="00622376"/>
    <w:rsid w:val="00624958"/>
    <w:rsid w:val="00627A97"/>
    <w:rsid w:val="00632799"/>
    <w:rsid w:val="00635A36"/>
    <w:rsid w:val="00636046"/>
    <w:rsid w:val="00641045"/>
    <w:rsid w:val="00642167"/>
    <w:rsid w:val="00642704"/>
    <w:rsid w:val="00645504"/>
    <w:rsid w:val="00646099"/>
    <w:rsid w:val="006479EF"/>
    <w:rsid w:val="00650EDD"/>
    <w:rsid w:val="00650FC5"/>
    <w:rsid w:val="00653EAA"/>
    <w:rsid w:val="00660BF5"/>
    <w:rsid w:val="006614D2"/>
    <w:rsid w:val="00676FEF"/>
    <w:rsid w:val="006778F5"/>
    <w:rsid w:val="0068068B"/>
    <w:rsid w:val="00682B35"/>
    <w:rsid w:val="00683E3B"/>
    <w:rsid w:val="00691870"/>
    <w:rsid w:val="00691E0A"/>
    <w:rsid w:val="0069494E"/>
    <w:rsid w:val="006A40B1"/>
    <w:rsid w:val="006A44DF"/>
    <w:rsid w:val="006A5409"/>
    <w:rsid w:val="006A593A"/>
    <w:rsid w:val="006A6B8F"/>
    <w:rsid w:val="006B016C"/>
    <w:rsid w:val="006C0F17"/>
    <w:rsid w:val="006C156E"/>
    <w:rsid w:val="006C4A3A"/>
    <w:rsid w:val="006C5B0E"/>
    <w:rsid w:val="006D27CF"/>
    <w:rsid w:val="006D372D"/>
    <w:rsid w:val="006E41BE"/>
    <w:rsid w:val="006E7573"/>
    <w:rsid w:val="006F054E"/>
    <w:rsid w:val="00700B0E"/>
    <w:rsid w:val="007032AD"/>
    <w:rsid w:val="00703F32"/>
    <w:rsid w:val="00710CF2"/>
    <w:rsid w:val="00711A84"/>
    <w:rsid w:val="00712208"/>
    <w:rsid w:val="00715556"/>
    <w:rsid w:val="007210B2"/>
    <w:rsid w:val="00721F19"/>
    <w:rsid w:val="0072339D"/>
    <w:rsid w:val="00724A46"/>
    <w:rsid w:val="00727FDB"/>
    <w:rsid w:val="00732597"/>
    <w:rsid w:val="00734F7B"/>
    <w:rsid w:val="00735490"/>
    <w:rsid w:val="007378F5"/>
    <w:rsid w:val="00741223"/>
    <w:rsid w:val="00743ECB"/>
    <w:rsid w:val="007449CF"/>
    <w:rsid w:val="00746BF7"/>
    <w:rsid w:val="00747485"/>
    <w:rsid w:val="00756C5F"/>
    <w:rsid w:val="00764F06"/>
    <w:rsid w:val="0076708C"/>
    <w:rsid w:val="00773597"/>
    <w:rsid w:val="00775101"/>
    <w:rsid w:val="007774AE"/>
    <w:rsid w:val="00777A3A"/>
    <w:rsid w:val="007804DF"/>
    <w:rsid w:val="0078078F"/>
    <w:rsid w:val="00783BD0"/>
    <w:rsid w:val="00786753"/>
    <w:rsid w:val="00793732"/>
    <w:rsid w:val="00795B36"/>
    <w:rsid w:val="00796BBB"/>
    <w:rsid w:val="00797AE9"/>
    <w:rsid w:val="007A1D9C"/>
    <w:rsid w:val="007A2DAA"/>
    <w:rsid w:val="007A3662"/>
    <w:rsid w:val="007A420F"/>
    <w:rsid w:val="007A48A1"/>
    <w:rsid w:val="007A6F7C"/>
    <w:rsid w:val="007B1D24"/>
    <w:rsid w:val="007B45D1"/>
    <w:rsid w:val="007B55D3"/>
    <w:rsid w:val="007B6A78"/>
    <w:rsid w:val="007C0548"/>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6CDF"/>
    <w:rsid w:val="0084077B"/>
    <w:rsid w:val="00840E90"/>
    <w:rsid w:val="008427C9"/>
    <w:rsid w:val="008438E9"/>
    <w:rsid w:val="00843E1D"/>
    <w:rsid w:val="00850897"/>
    <w:rsid w:val="00850F30"/>
    <w:rsid w:val="008523DD"/>
    <w:rsid w:val="00854DA0"/>
    <w:rsid w:val="00855105"/>
    <w:rsid w:val="008553F9"/>
    <w:rsid w:val="00856576"/>
    <w:rsid w:val="00856E86"/>
    <w:rsid w:val="008575FA"/>
    <w:rsid w:val="0085783F"/>
    <w:rsid w:val="008578AC"/>
    <w:rsid w:val="00857930"/>
    <w:rsid w:val="008636F7"/>
    <w:rsid w:val="00866976"/>
    <w:rsid w:val="00877C00"/>
    <w:rsid w:val="00877FBA"/>
    <w:rsid w:val="0088086D"/>
    <w:rsid w:val="00882592"/>
    <w:rsid w:val="00882648"/>
    <w:rsid w:val="00883843"/>
    <w:rsid w:val="00883A54"/>
    <w:rsid w:val="00884389"/>
    <w:rsid w:val="008861E2"/>
    <w:rsid w:val="00891546"/>
    <w:rsid w:val="00892F1C"/>
    <w:rsid w:val="008974A9"/>
    <w:rsid w:val="008A237F"/>
    <w:rsid w:val="008A310D"/>
    <w:rsid w:val="008A3D76"/>
    <w:rsid w:val="008A5B33"/>
    <w:rsid w:val="008A5D25"/>
    <w:rsid w:val="008B5280"/>
    <w:rsid w:val="008B5B1C"/>
    <w:rsid w:val="008B6A08"/>
    <w:rsid w:val="008B6BAD"/>
    <w:rsid w:val="008D6F7E"/>
    <w:rsid w:val="008D7D24"/>
    <w:rsid w:val="008E0163"/>
    <w:rsid w:val="008E145D"/>
    <w:rsid w:val="008E4742"/>
    <w:rsid w:val="008E5134"/>
    <w:rsid w:val="008E6403"/>
    <w:rsid w:val="008F0CD4"/>
    <w:rsid w:val="008F48A2"/>
    <w:rsid w:val="00904AE6"/>
    <w:rsid w:val="009057A6"/>
    <w:rsid w:val="00905F1F"/>
    <w:rsid w:val="00907249"/>
    <w:rsid w:val="00907C4E"/>
    <w:rsid w:val="0091494E"/>
    <w:rsid w:val="00915EB6"/>
    <w:rsid w:val="00917165"/>
    <w:rsid w:val="00920A8A"/>
    <w:rsid w:val="00926474"/>
    <w:rsid w:val="00930E62"/>
    <w:rsid w:val="00930F9D"/>
    <w:rsid w:val="00931BC3"/>
    <w:rsid w:val="00934480"/>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43"/>
    <w:rsid w:val="00990063"/>
    <w:rsid w:val="00990DD9"/>
    <w:rsid w:val="00993CFB"/>
    <w:rsid w:val="00997C3D"/>
    <w:rsid w:val="00997D1D"/>
    <w:rsid w:val="009A03EC"/>
    <w:rsid w:val="009A0DF9"/>
    <w:rsid w:val="009A202A"/>
    <w:rsid w:val="009A522A"/>
    <w:rsid w:val="009A7272"/>
    <w:rsid w:val="009B1B23"/>
    <w:rsid w:val="009B1F6A"/>
    <w:rsid w:val="009B4131"/>
    <w:rsid w:val="009C2F07"/>
    <w:rsid w:val="009C3D1E"/>
    <w:rsid w:val="009C7E54"/>
    <w:rsid w:val="009D003C"/>
    <w:rsid w:val="009D3126"/>
    <w:rsid w:val="009D4791"/>
    <w:rsid w:val="009D76E1"/>
    <w:rsid w:val="009E265D"/>
    <w:rsid w:val="009E2785"/>
    <w:rsid w:val="009E37A5"/>
    <w:rsid w:val="009E3FE5"/>
    <w:rsid w:val="009F18CA"/>
    <w:rsid w:val="009F2060"/>
    <w:rsid w:val="009F2523"/>
    <w:rsid w:val="009F3814"/>
    <w:rsid w:val="009F7C54"/>
    <w:rsid w:val="00A00296"/>
    <w:rsid w:val="00A01560"/>
    <w:rsid w:val="00A13310"/>
    <w:rsid w:val="00A15587"/>
    <w:rsid w:val="00A165CB"/>
    <w:rsid w:val="00A16ACE"/>
    <w:rsid w:val="00A21064"/>
    <w:rsid w:val="00A2249F"/>
    <w:rsid w:val="00A22A3F"/>
    <w:rsid w:val="00A31915"/>
    <w:rsid w:val="00A31F9D"/>
    <w:rsid w:val="00A33F5E"/>
    <w:rsid w:val="00A34EBD"/>
    <w:rsid w:val="00A37B38"/>
    <w:rsid w:val="00A425C7"/>
    <w:rsid w:val="00A42853"/>
    <w:rsid w:val="00A43AB8"/>
    <w:rsid w:val="00A441A4"/>
    <w:rsid w:val="00A44BEC"/>
    <w:rsid w:val="00A4624F"/>
    <w:rsid w:val="00A4669C"/>
    <w:rsid w:val="00A477D8"/>
    <w:rsid w:val="00A539B5"/>
    <w:rsid w:val="00A53F60"/>
    <w:rsid w:val="00A54F83"/>
    <w:rsid w:val="00A56228"/>
    <w:rsid w:val="00A56A37"/>
    <w:rsid w:val="00A5795C"/>
    <w:rsid w:val="00A6200D"/>
    <w:rsid w:val="00A7714F"/>
    <w:rsid w:val="00A91E7C"/>
    <w:rsid w:val="00A93623"/>
    <w:rsid w:val="00A93C4D"/>
    <w:rsid w:val="00A9542A"/>
    <w:rsid w:val="00AA0A9B"/>
    <w:rsid w:val="00AA11A9"/>
    <w:rsid w:val="00AA21EE"/>
    <w:rsid w:val="00AA4F46"/>
    <w:rsid w:val="00AA78F8"/>
    <w:rsid w:val="00AB555A"/>
    <w:rsid w:val="00AC0C65"/>
    <w:rsid w:val="00AD07D2"/>
    <w:rsid w:val="00AD0F24"/>
    <w:rsid w:val="00AD1B18"/>
    <w:rsid w:val="00AD45BD"/>
    <w:rsid w:val="00AD4991"/>
    <w:rsid w:val="00AD5F74"/>
    <w:rsid w:val="00AD67E9"/>
    <w:rsid w:val="00AE0CD8"/>
    <w:rsid w:val="00AE1F0E"/>
    <w:rsid w:val="00AE24D3"/>
    <w:rsid w:val="00AE2F26"/>
    <w:rsid w:val="00AE4205"/>
    <w:rsid w:val="00AE696C"/>
    <w:rsid w:val="00AE73A6"/>
    <w:rsid w:val="00B076EC"/>
    <w:rsid w:val="00B103A1"/>
    <w:rsid w:val="00B10545"/>
    <w:rsid w:val="00B11BFE"/>
    <w:rsid w:val="00B158C2"/>
    <w:rsid w:val="00B15B55"/>
    <w:rsid w:val="00B215D6"/>
    <w:rsid w:val="00B22669"/>
    <w:rsid w:val="00B27AC2"/>
    <w:rsid w:val="00B33B4F"/>
    <w:rsid w:val="00B34418"/>
    <w:rsid w:val="00B36B72"/>
    <w:rsid w:val="00B372B3"/>
    <w:rsid w:val="00B37735"/>
    <w:rsid w:val="00B43F65"/>
    <w:rsid w:val="00B46660"/>
    <w:rsid w:val="00B60DFB"/>
    <w:rsid w:val="00B61189"/>
    <w:rsid w:val="00B6355A"/>
    <w:rsid w:val="00B64E36"/>
    <w:rsid w:val="00B6558E"/>
    <w:rsid w:val="00B67D88"/>
    <w:rsid w:val="00B71636"/>
    <w:rsid w:val="00B8162A"/>
    <w:rsid w:val="00B81A1C"/>
    <w:rsid w:val="00B84F73"/>
    <w:rsid w:val="00B870C9"/>
    <w:rsid w:val="00B87198"/>
    <w:rsid w:val="00B873C2"/>
    <w:rsid w:val="00B92262"/>
    <w:rsid w:val="00B9361F"/>
    <w:rsid w:val="00B93709"/>
    <w:rsid w:val="00B93D19"/>
    <w:rsid w:val="00B94691"/>
    <w:rsid w:val="00B94ECF"/>
    <w:rsid w:val="00B96FBE"/>
    <w:rsid w:val="00B9740D"/>
    <w:rsid w:val="00B977BC"/>
    <w:rsid w:val="00BA68CA"/>
    <w:rsid w:val="00BA6F53"/>
    <w:rsid w:val="00BA7DE8"/>
    <w:rsid w:val="00BB193A"/>
    <w:rsid w:val="00BC2270"/>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24DB9"/>
    <w:rsid w:val="00C32452"/>
    <w:rsid w:val="00C333F7"/>
    <w:rsid w:val="00C3506E"/>
    <w:rsid w:val="00C35657"/>
    <w:rsid w:val="00C36A6A"/>
    <w:rsid w:val="00C36F14"/>
    <w:rsid w:val="00C41243"/>
    <w:rsid w:val="00C42D52"/>
    <w:rsid w:val="00C44727"/>
    <w:rsid w:val="00C46A09"/>
    <w:rsid w:val="00C57154"/>
    <w:rsid w:val="00C61394"/>
    <w:rsid w:val="00C63312"/>
    <w:rsid w:val="00C70538"/>
    <w:rsid w:val="00C75261"/>
    <w:rsid w:val="00C758F7"/>
    <w:rsid w:val="00C75A36"/>
    <w:rsid w:val="00C75A85"/>
    <w:rsid w:val="00C77B3F"/>
    <w:rsid w:val="00C77E04"/>
    <w:rsid w:val="00C834F8"/>
    <w:rsid w:val="00C8521C"/>
    <w:rsid w:val="00C85604"/>
    <w:rsid w:val="00C90E72"/>
    <w:rsid w:val="00C91673"/>
    <w:rsid w:val="00C93B69"/>
    <w:rsid w:val="00C95376"/>
    <w:rsid w:val="00C966C3"/>
    <w:rsid w:val="00CA6161"/>
    <w:rsid w:val="00CA7825"/>
    <w:rsid w:val="00CB2923"/>
    <w:rsid w:val="00CC27E7"/>
    <w:rsid w:val="00CC52AE"/>
    <w:rsid w:val="00CC670A"/>
    <w:rsid w:val="00CD2329"/>
    <w:rsid w:val="00CD5628"/>
    <w:rsid w:val="00CD569F"/>
    <w:rsid w:val="00CD7F21"/>
    <w:rsid w:val="00CE16C7"/>
    <w:rsid w:val="00CE6194"/>
    <w:rsid w:val="00CE67F9"/>
    <w:rsid w:val="00CE6A69"/>
    <w:rsid w:val="00CE736B"/>
    <w:rsid w:val="00CF03AA"/>
    <w:rsid w:val="00D007D9"/>
    <w:rsid w:val="00D00823"/>
    <w:rsid w:val="00D0569D"/>
    <w:rsid w:val="00D07CC3"/>
    <w:rsid w:val="00D17D95"/>
    <w:rsid w:val="00D22569"/>
    <w:rsid w:val="00D271A7"/>
    <w:rsid w:val="00D40FBD"/>
    <w:rsid w:val="00D47E2D"/>
    <w:rsid w:val="00D5168C"/>
    <w:rsid w:val="00D516AF"/>
    <w:rsid w:val="00D53DC5"/>
    <w:rsid w:val="00D55AE7"/>
    <w:rsid w:val="00D6011A"/>
    <w:rsid w:val="00D61ED0"/>
    <w:rsid w:val="00D62CBF"/>
    <w:rsid w:val="00D62E32"/>
    <w:rsid w:val="00D64261"/>
    <w:rsid w:val="00D66FC1"/>
    <w:rsid w:val="00D70248"/>
    <w:rsid w:val="00D7124A"/>
    <w:rsid w:val="00D7535F"/>
    <w:rsid w:val="00D75F88"/>
    <w:rsid w:val="00D7626F"/>
    <w:rsid w:val="00D82E61"/>
    <w:rsid w:val="00D90B55"/>
    <w:rsid w:val="00D91FFA"/>
    <w:rsid w:val="00D9744D"/>
    <w:rsid w:val="00D97DCB"/>
    <w:rsid w:val="00DA13C5"/>
    <w:rsid w:val="00DB711D"/>
    <w:rsid w:val="00DB7C77"/>
    <w:rsid w:val="00DC3E97"/>
    <w:rsid w:val="00DC5273"/>
    <w:rsid w:val="00DC54BA"/>
    <w:rsid w:val="00DC7EC9"/>
    <w:rsid w:val="00DD2C05"/>
    <w:rsid w:val="00DD7965"/>
    <w:rsid w:val="00DE0C5C"/>
    <w:rsid w:val="00DE2D0F"/>
    <w:rsid w:val="00DE384C"/>
    <w:rsid w:val="00DE3A41"/>
    <w:rsid w:val="00DE4A68"/>
    <w:rsid w:val="00DF06EA"/>
    <w:rsid w:val="00DF3ED7"/>
    <w:rsid w:val="00DF4FA8"/>
    <w:rsid w:val="00DF614A"/>
    <w:rsid w:val="00DF7FD4"/>
    <w:rsid w:val="00E017F4"/>
    <w:rsid w:val="00E0279F"/>
    <w:rsid w:val="00E0388D"/>
    <w:rsid w:val="00E06B15"/>
    <w:rsid w:val="00E078BA"/>
    <w:rsid w:val="00E11E7A"/>
    <w:rsid w:val="00E1340D"/>
    <w:rsid w:val="00E13EA5"/>
    <w:rsid w:val="00E14F1C"/>
    <w:rsid w:val="00E17105"/>
    <w:rsid w:val="00E21A86"/>
    <w:rsid w:val="00E224D9"/>
    <w:rsid w:val="00E22DC8"/>
    <w:rsid w:val="00E2391F"/>
    <w:rsid w:val="00E2602A"/>
    <w:rsid w:val="00E31890"/>
    <w:rsid w:val="00E3197D"/>
    <w:rsid w:val="00E36D21"/>
    <w:rsid w:val="00E37970"/>
    <w:rsid w:val="00E40618"/>
    <w:rsid w:val="00E436C5"/>
    <w:rsid w:val="00E43BAA"/>
    <w:rsid w:val="00E45229"/>
    <w:rsid w:val="00E458CD"/>
    <w:rsid w:val="00E45BDA"/>
    <w:rsid w:val="00E51188"/>
    <w:rsid w:val="00E710F8"/>
    <w:rsid w:val="00E74763"/>
    <w:rsid w:val="00E75751"/>
    <w:rsid w:val="00E82A0A"/>
    <w:rsid w:val="00E84F0F"/>
    <w:rsid w:val="00E8649F"/>
    <w:rsid w:val="00E905E6"/>
    <w:rsid w:val="00E90D2D"/>
    <w:rsid w:val="00E913F6"/>
    <w:rsid w:val="00E92850"/>
    <w:rsid w:val="00EA6846"/>
    <w:rsid w:val="00EB6F79"/>
    <w:rsid w:val="00EC18AA"/>
    <w:rsid w:val="00EC4B52"/>
    <w:rsid w:val="00EC583D"/>
    <w:rsid w:val="00EC787D"/>
    <w:rsid w:val="00ED11EF"/>
    <w:rsid w:val="00ED15E6"/>
    <w:rsid w:val="00ED222E"/>
    <w:rsid w:val="00ED2D77"/>
    <w:rsid w:val="00EE0C51"/>
    <w:rsid w:val="00EE794D"/>
    <w:rsid w:val="00F022C6"/>
    <w:rsid w:val="00F109F8"/>
    <w:rsid w:val="00F11FBA"/>
    <w:rsid w:val="00F15D78"/>
    <w:rsid w:val="00F20434"/>
    <w:rsid w:val="00F21BD4"/>
    <w:rsid w:val="00F22E1D"/>
    <w:rsid w:val="00F23F30"/>
    <w:rsid w:val="00F253E2"/>
    <w:rsid w:val="00F411E6"/>
    <w:rsid w:val="00F44CFC"/>
    <w:rsid w:val="00F45D93"/>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94714"/>
    <w:rsid w:val="00FA0F4A"/>
    <w:rsid w:val="00FA6961"/>
    <w:rsid w:val="00FB2AB0"/>
    <w:rsid w:val="00FB46C8"/>
    <w:rsid w:val="00FB4877"/>
    <w:rsid w:val="00FB4A3C"/>
    <w:rsid w:val="00FB50FA"/>
    <w:rsid w:val="00FC1DD9"/>
    <w:rsid w:val="00FC31F6"/>
    <w:rsid w:val="00FD1F89"/>
    <w:rsid w:val="00FD384C"/>
    <w:rsid w:val="00FD7FB7"/>
    <w:rsid w:val="00FE025A"/>
    <w:rsid w:val="00FE3038"/>
    <w:rsid w:val="00FE48BE"/>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customStyle="1" w:styleId="TextBody">
    <w:name w:val="Text Body"/>
    <w:basedOn w:val="Normal"/>
    <w:rsid w:val="004D55DD"/>
    <w:pPr>
      <w:suppressAutoHyphens/>
      <w:spacing w:after="120"/>
    </w:pPr>
    <w:rPr>
      <w:rFonts w:cs="Arial"/>
      <w:sz w:val="24"/>
      <w:szCs w:val="24"/>
    </w:rPr>
  </w:style>
  <w:style w:type="character" w:styleId="UnresolvedMention">
    <w:name w:val="Unresolved Mention"/>
    <w:basedOn w:val="DefaultParagraphFont"/>
    <w:uiPriority w:val="99"/>
    <w:semiHidden/>
    <w:unhideWhenUsed/>
    <w:rsid w:val="00645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1203431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dustry.gov.au/publications/anti-dumping-commission-collection-and-use-information-poli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adcommission.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15L0173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sites/default/files/adc/public-record/ex0072-011_-_notice_-_exemption_instrument_no._3_of_2019.pdf" TargetMode="External"/><Relationship Id="rId1" Type="http://schemas.openxmlformats.org/officeDocument/2006/relationships/hyperlink" Target="https://www.industry.gov.au/sites/default/files/adc/public-record/ex0070-011_-_notice_-_exemption_instrument_no._2_of_2019.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1273</Value>
      <Value>30</Value>
      <Value>964</Value>
      <Value>42</Value>
      <Value>1279</Value>
      <Value>1685</Value>
      <Value>1276</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KOREA (REPUBLIC)</TermName>
          <TermId xmlns="http://schemas.microsoft.com/office/infopath/2007/PartnerControls">0b326276-96a9-4d9f-ba9c-063576bcc904</TermId>
        </TermInfo>
        <TermInfo xmlns="http://schemas.microsoft.com/office/infopath/2007/PartnerControls">
          <TermName xmlns="http://schemas.microsoft.com/office/infopath/2007/PartnerControls">SPAIN</TermName>
          <TermId xmlns="http://schemas.microsoft.com/office/infopath/2007/PartnerControls">a8a2a95c-dfe0-4319-bc53-ed0b68149a27</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028d2a82-9ad8-4680-8be0-bc23c353d676</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Steel Reinforcing Bar - Continuation - Infrabuild (Newcastle) - Korea, Spain (except Nervacero S.A.)_DA88743C9AB245F5A5BCCE383BC03F96</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660</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Continuation Inquiry</TermName>
          <TermId xmlns="http://schemas.microsoft.com/office/infopath/2007/PartnerControls">74cbcd40-ded6-46ab-8f0b-4816580d8e38</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Steel Reinforcing Bar</TermName>
          <TermId xmlns="http://schemas.microsoft.com/office/infopath/2007/PartnerControls">bcd70216-1c36-475d-8aaa-d78a1045228c</TermId>
        </TermInfo>
      </Terms>
    </f06bc08df4f7480fae31bfc0219a480b>
    <ADCCRMCaseId xmlns="b48e3ffd-eb19-4da6-9c3a-2fe013753af6">DA88743C-9AB2-45F5-A5BC-CE383BC03F96</ADCCRMCas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3" ma:contentTypeDescription="Create a new document." ma:contentTypeScope="" ma:versionID="06c9f8e84e6a07b34bb9a7f623cca999">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33d8f5a8c30495331ab00d72e6a24954"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DC4F02A7-442A-49F9-A09B-634654412D78}">
  <ds:schemaRefs>
    <ds:schemaRef ds:uri="http://schemas.microsoft.com/office/2006/metadata/properties"/>
    <ds:schemaRef ds:uri="http://schemas.microsoft.com/office/infopath/2007/PartnerControls"/>
    <ds:schemaRef ds:uri="9415f538-06e4-4333-8d32-bf09d7b0fc67"/>
    <ds:schemaRef ds:uri="b48e3ffd-eb19-4da6-9c3a-2fe013753af6"/>
  </ds:schemaRefs>
</ds:datastoreItem>
</file>

<file path=customXml/itemProps3.xml><?xml version="1.0" encoding="utf-8"?>
<ds:datastoreItem xmlns:ds="http://schemas.openxmlformats.org/officeDocument/2006/customXml" ds:itemID="{32D88D74-0428-46A5-AB33-18927EAC29D9}">
  <ds:schemaRefs>
    <ds:schemaRef ds:uri="http://schemas.openxmlformats.org/officeDocument/2006/bibliography"/>
  </ds:schemaRefs>
</ds:datastoreItem>
</file>

<file path=customXml/itemProps4.xml><?xml version="1.0" encoding="utf-8"?>
<ds:datastoreItem xmlns:ds="http://schemas.openxmlformats.org/officeDocument/2006/customXml" ds:itemID="{7FA2A193-C1CE-4683-B5DE-8D7C42640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15</Pages>
  <Words>4109</Words>
  <Characters>23424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Importer questionnaire</vt:lpstr>
    </vt:vector>
  </TitlesOfParts>
  <Company>Australian Customs Service</Company>
  <LinksUpToDate>false</LinksUpToDate>
  <CharactersWithSpaces>27479</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questionnaire</dc:title>
  <dc:subject/>
  <dc:creator>Chew, An</dc:creator>
  <cp:keywords/>
  <cp:lastModifiedBy>Cheah, Ben</cp:lastModifiedBy>
  <cp:revision>113</cp:revision>
  <cp:lastPrinted>2013-05-16T23:12:00Z</cp:lastPrinted>
  <dcterms:created xsi:type="dcterms:W3CDTF">2020-10-08T00:30:00Z</dcterms:created>
  <dcterms:modified xsi:type="dcterms:W3CDTF">2024-12-05T05:24:00Z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2d348e8e-e4c8-49c5-90ee-dfca57d94375</vt:lpwstr>
  </property>
  <property fmtid="{D5CDD505-2E9C-101B-9397-08002B2CF9AE}" pid="8" name="DocHub_Year">
    <vt:lpwstr>4013;#2022|4a777a70-2aa9-481e-a746-cca47d761c8e</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IconOverlay">
    <vt:lpwstr/>
  </property>
  <property fmtid="{D5CDD505-2E9C-101B-9397-08002B2CF9AE}" pid="33" name="DocHub_EconomicStrategicServicesStatus">
    <vt:lpwstr/>
  </property>
  <property fmtid="{D5CDD505-2E9C-101B-9397-08002B2CF9AE}" pid="34" name="ADCSub-documentType">
    <vt:lpwstr/>
  </property>
  <property fmtid="{D5CDD505-2E9C-101B-9397-08002B2CF9AE}" pid="35" name="ADCDivisionKeywords">
    <vt:lpwstr/>
  </property>
  <property fmtid="{D5CDD505-2E9C-101B-9397-08002B2CF9AE}" pid="36" name="MediaServiceImageTags">
    <vt:lpwstr/>
  </property>
  <property fmtid="{D5CDD505-2E9C-101B-9397-08002B2CF9AE}" pid="37" name="ADCDocumentType">
    <vt:lpwstr>42;#Questionnaire|77396392-a370-441c-ad68-0ba6068a2990</vt:lpwstr>
  </property>
  <property fmtid="{D5CDD505-2E9C-101B-9397-08002B2CF9AE}" pid="38" name="ADCEntityType">
    <vt:lpwstr/>
  </property>
  <property fmtid="{D5CDD505-2E9C-101B-9397-08002B2CF9AE}" pid="39" name="ADCFileType">
    <vt:lpwstr>1279;#docx|7235e733-68fd-45f7-bd8f-236be668aa4c</vt:lpwstr>
  </property>
  <property fmtid="{D5CDD505-2E9C-101B-9397-08002B2CF9AE}" pid="40" name="ADCCaseType">
    <vt:lpwstr>1276;#Continuation Inquiry|74cbcd40-ded6-46ab-8f0b-4816580d8e38</vt:lpwstr>
  </property>
  <property fmtid="{D5CDD505-2E9C-101B-9397-08002B2CF9AE}" pid="41" name="ADCCountries">
    <vt:lpwstr>1685;#KOREA (REPUBLIC)|0b326276-96a9-4d9f-ba9c-063576bcc904;#964;#SPAIN|a8a2a95c-dfe0-4319-bc53-ed0b68149a27</vt:lpwstr>
  </property>
  <property fmtid="{D5CDD505-2E9C-101B-9397-08002B2CF9AE}" pid="42" name="ADCSecurityClassification">
    <vt:lpwstr>30;#OFFICIAL:Sensitive|028d2a82-9ad8-4680-8be0-bc23c353d676</vt:lpwstr>
  </property>
  <property fmtid="{D5CDD505-2E9C-101B-9397-08002B2CF9AE}" pid="43" name="ADCEntity">
    <vt:lpwstr/>
  </property>
  <property fmtid="{D5CDD505-2E9C-101B-9397-08002B2CF9AE}" pid="44" name="ADCReportType">
    <vt:lpwstr/>
  </property>
  <property fmtid="{D5CDD505-2E9C-101B-9397-08002B2CF9AE}" pid="45" name="ADCAttachment/Appendix">
    <vt:lpwstr/>
  </property>
  <property fmtid="{D5CDD505-2E9C-101B-9397-08002B2CF9AE}" pid="46" name="ADCWorkActivity">
    <vt:lpwstr/>
  </property>
  <property fmtid="{D5CDD505-2E9C-101B-9397-08002B2CF9AE}" pid="47" name="ADCYear">
    <vt:lpwstr/>
  </property>
  <property fmtid="{D5CDD505-2E9C-101B-9397-08002B2CF9AE}" pid="48" name="ADCGoods">
    <vt:lpwstr>1273;#Steel Reinforcing Bar|bcd70216-1c36-475d-8aaa-d78a1045228c</vt:lpwstr>
  </property>
  <property fmtid="{D5CDD505-2E9C-101B-9397-08002B2CF9AE}" pid="49" name="ADCAttachment_x002f_Appendix">
    <vt:lpwstr/>
  </property>
  <property fmtid="{D5CDD505-2E9C-101B-9397-08002B2CF9AE}" pid="50" name="ADCSub_x002d_documentType">
    <vt:lpwstr/>
  </property>
</Properties>
</file>