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7E46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A2BFD3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149D6918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5D56FD8" w14:textId="5653F6D7" w:rsidR="006A76C5" w:rsidRPr="00812EA6" w:rsidRDefault="00612CA1" w:rsidP="006A76C5">
      <w:pPr>
        <w:pStyle w:val="Title"/>
        <w:outlineLvl w:val="0"/>
        <w:rPr>
          <w:rFonts w:ascii="Arial" w:hAnsi="Arial" w:cs="Arial"/>
          <w:caps/>
          <w:sz w:val="26"/>
        </w:rPr>
      </w:pPr>
      <w:r>
        <w:rPr>
          <w:rFonts w:ascii="Arial" w:hAnsi="Arial" w:cs="Arial"/>
          <w:caps/>
          <w:sz w:val="26"/>
        </w:rPr>
        <w:t>hot dip galvanised steel angle</w:t>
      </w:r>
    </w:p>
    <w:p w14:paraId="18309F2B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1C56E51A" w14:textId="0279582F" w:rsidR="006A76C5" w:rsidRPr="00812EA6" w:rsidRDefault="006A76C5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EXPORTED TO AUSTRALIA FROM </w:t>
      </w:r>
      <w:r w:rsidR="00BB4054">
        <w:rPr>
          <w:rFonts w:ascii="Arial" w:hAnsi="Arial" w:cs="Arial"/>
          <w:caps/>
          <w:sz w:val="26"/>
        </w:rPr>
        <w:t xml:space="preserve">THE </w:t>
      </w:r>
      <w:r w:rsidR="00B23AD4">
        <w:rPr>
          <w:rFonts w:ascii="Arial" w:hAnsi="Arial" w:cs="Arial"/>
          <w:caps/>
          <w:sz w:val="26"/>
        </w:rPr>
        <w:t>people’s REPUBLIC OF china</w:t>
      </w:r>
    </w:p>
    <w:p w14:paraId="4C9FDDED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C11B1E1" w14:textId="2BDBBC8A" w:rsidR="00CB4DCB" w:rsidRPr="00711AF7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612CA1">
        <w:rPr>
          <w:rFonts w:cs="Arial"/>
        </w:rPr>
        <w:t xml:space="preserve">hot dip galvanised steel </w:t>
      </w:r>
      <w:r w:rsidR="00B23AD4">
        <w:rPr>
          <w:rFonts w:cs="Arial"/>
        </w:rPr>
        <w:t>angle</w:t>
      </w:r>
      <w:r w:rsidR="00812EA6">
        <w:rPr>
          <w:rFonts w:cs="Arial"/>
        </w:rPr>
        <w:t xml:space="preserve"> </w:t>
      </w:r>
      <w:r>
        <w:rPr>
          <w:rFonts w:cs="Arial"/>
        </w:rPr>
        <w:t xml:space="preserve">exported to Australia </w:t>
      </w:r>
      <w:r w:rsidR="004F3822">
        <w:rPr>
          <w:rFonts w:cs="Arial"/>
        </w:rPr>
        <w:t>from</w:t>
      </w:r>
      <w:r w:rsidR="00641196">
        <w:rPr>
          <w:rFonts w:cs="Arial"/>
        </w:rPr>
        <w:t xml:space="preserve"> </w:t>
      </w:r>
      <w:r w:rsidR="00812EA6">
        <w:rPr>
          <w:rFonts w:cs="Arial"/>
        </w:rPr>
        <w:t xml:space="preserve">the </w:t>
      </w:r>
      <w:r w:rsidR="00B23AD4">
        <w:rPr>
          <w:rFonts w:cs="Arial"/>
        </w:rPr>
        <w:t>Republic of China.</w:t>
      </w:r>
    </w:p>
    <w:p w14:paraId="3DE1C3FA" w14:textId="394B29B2" w:rsidR="00641196" w:rsidRPr="000A0E08" w:rsidRDefault="00641196" w:rsidP="00641196">
      <w:pPr>
        <w:pStyle w:val="BodyText"/>
        <w:jc w:val="left"/>
        <w:rPr>
          <w:rFonts w:cs="Arial"/>
          <w:color w:val="000000" w:themeColor="text1"/>
        </w:rPr>
      </w:pPr>
      <w:r w:rsidRPr="00711AF7">
        <w:rPr>
          <w:rFonts w:cs="Arial"/>
          <w:color w:val="000000" w:themeColor="text1"/>
        </w:rPr>
        <w:t xml:space="preserve">This information will be used in relation to </w:t>
      </w:r>
      <w:r w:rsidR="00BB4054">
        <w:rPr>
          <w:rFonts w:cs="Arial"/>
          <w:color w:val="000000" w:themeColor="text1"/>
        </w:rPr>
        <w:t>A</w:t>
      </w:r>
      <w:r w:rsidR="00612CA1">
        <w:rPr>
          <w:rFonts w:cs="Arial"/>
          <w:color w:val="000000" w:themeColor="text1"/>
        </w:rPr>
        <w:t>nti-Dumping Investigation No.516</w:t>
      </w:r>
      <w:r w:rsidR="004F3822">
        <w:rPr>
          <w:rFonts w:cs="Arial"/>
          <w:color w:val="000000" w:themeColor="text1"/>
        </w:rPr>
        <w:t xml:space="preserve"> </w:t>
      </w:r>
      <w:r w:rsidRPr="00711AF7">
        <w:rPr>
          <w:rFonts w:cs="Arial"/>
          <w:color w:val="000000" w:themeColor="text1"/>
        </w:rPr>
        <w:t xml:space="preserve">to examine whether </w:t>
      </w:r>
      <w:r w:rsidR="00BB4054">
        <w:rPr>
          <w:rFonts w:cs="Arial"/>
          <w:color w:val="000000" w:themeColor="text1"/>
        </w:rPr>
        <w:t xml:space="preserve">the publication of a dumping duty notice </w:t>
      </w:r>
      <w:r w:rsidRPr="00711AF7">
        <w:rPr>
          <w:rFonts w:cs="Arial"/>
          <w:color w:val="000000" w:themeColor="text1"/>
        </w:rPr>
        <w:t xml:space="preserve">as they affect </w:t>
      </w:r>
      <w:r w:rsidR="004F3822">
        <w:rPr>
          <w:rFonts w:cs="Arial"/>
          <w:color w:val="000000" w:themeColor="text1"/>
        </w:rPr>
        <w:t>export</w:t>
      </w:r>
      <w:r w:rsidR="00612CA1">
        <w:rPr>
          <w:rFonts w:cs="Arial"/>
          <w:color w:val="000000" w:themeColor="text1"/>
        </w:rPr>
        <w:t>s of</w:t>
      </w:r>
      <w:r w:rsidR="00612CA1" w:rsidRPr="00612CA1">
        <w:rPr>
          <w:rFonts w:cs="Arial"/>
          <w:color w:val="000000" w:themeColor="text1"/>
        </w:rPr>
        <w:t xml:space="preserve"> hot dip galvanised steel angle</w:t>
      </w:r>
      <w:r w:rsidR="004F3822">
        <w:rPr>
          <w:rFonts w:cs="Arial"/>
          <w:color w:val="000000" w:themeColor="text1"/>
        </w:rPr>
        <w:t xml:space="preserve"> from </w:t>
      </w:r>
      <w:r w:rsidR="00B23AD4">
        <w:rPr>
          <w:rFonts w:cs="Arial"/>
        </w:rPr>
        <w:t>China</w:t>
      </w:r>
      <w:r w:rsidR="00BB4054">
        <w:rPr>
          <w:rFonts w:cs="Arial"/>
        </w:rPr>
        <w:t xml:space="preserve"> is justified.</w:t>
      </w:r>
    </w:p>
    <w:p w14:paraId="1928335A" w14:textId="14BB98D0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</w:t>
      </w:r>
      <w:r w:rsidR="004F3822">
        <w:rPr>
          <w:rFonts w:cs="Arial"/>
        </w:rPr>
        <w:t>nti</w:t>
      </w:r>
      <w:r w:rsidR="004F3822" w:rsidRPr="009A490B">
        <w:rPr>
          <w:rFonts w:cs="Arial"/>
        </w:rPr>
        <w:t>-</w:t>
      </w:r>
      <w:r w:rsidR="00CB4DCB" w:rsidRPr="009A490B">
        <w:rPr>
          <w:rFonts w:cs="Arial"/>
        </w:rPr>
        <w:t>Dumping Notice No</w:t>
      </w:r>
      <w:r w:rsidR="008348DA">
        <w:rPr>
          <w:rFonts w:cs="Arial"/>
        </w:rPr>
        <w:t>.</w:t>
      </w:r>
      <w:r w:rsidRPr="009A490B">
        <w:rPr>
          <w:rFonts w:cs="Arial"/>
        </w:rPr>
        <w:t xml:space="preserve"> </w:t>
      </w:r>
      <w:r w:rsidR="002540F2">
        <w:rPr>
          <w:rFonts w:cs="Arial"/>
        </w:rPr>
        <w:t>2019/79</w:t>
      </w:r>
      <w:r w:rsidR="00B743F3">
        <w:rPr>
          <w:rFonts w:cs="Arial"/>
        </w:rPr>
        <w:t xml:space="preserve"> available on the Commission’s website at </w:t>
      </w:r>
      <w:hyperlink r:id="rId11" w:history="1">
        <w:r w:rsidR="00B743F3" w:rsidRPr="00F24512">
          <w:rPr>
            <w:rStyle w:val="Hyperlink"/>
            <w:rFonts w:cs="Arial"/>
          </w:rPr>
          <w:t>www.adcommission.gov.au</w:t>
        </w:r>
      </w:hyperlink>
      <w:r w:rsidR="00B743F3">
        <w:rPr>
          <w:rFonts w:cs="Arial"/>
        </w:rPr>
        <w:t xml:space="preserve"> </w:t>
      </w:r>
      <w:r w:rsidR="00CB4DCB" w:rsidRPr="009A490B">
        <w:rPr>
          <w:rFonts w:cs="Arial"/>
        </w:rPr>
        <w:t>provides</w:t>
      </w:r>
      <w:r w:rsidRPr="009A490B">
        <w:rPr>
          <w:rFonts w:cs="Arial"/>
        </w:rPr>
        <w:t xml:space="preserve"> details of the goods under consideration, the </w:t>
      </w:r>
      <w:r w:rsidR="00CB4DCB" w:rsidRPr="009A490B">
        <w:rPr>
          <w:rFonts w:cs="Arial"/>
        </w:rPr>
        <w:t>application</w:t>
      </w:r>
      <w:r w:rsidRPr="009A490B">
        <w:rPr>
          <w:rFonts w:cs="Arial"/>
        </w:rPr>
        <w:t xml:space="preserve"> and the </w:t>
      </w:r>
      <w:r w:rsidR="008348DA">
        <w:rPr>
          <w:rFonts w:cs="Arial"/>
        </w:rPr>
        <w:t>investigation</w:t>
      </w:r>
      <w:r w:rsidRPr="009A490B">
        <w:rPr>
          <w:rFonts w:cs="Arial"/>
        </w:rPr>
        <w:t xml:space="preserve"> procedures.</w:t>
      </w:r>
    </w:p>
    <w:p w14:paraId="3646BBE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118"/>
        <w:gridCol w:w="4254"/>
      </w:tblGrid>
      <w:tr w:rsidR="005A62FB" w:rsidRPr="008348DA" w14:paraId="718BB503" w14:textId="77777777" w:rsidTr="005A62FB">
        <w:tc>
          <w:tcPr>
            <w:tcW w:w="1133" w:type="dxa"/>
          </w:tcPr>
          <w:p w14:paraId="52A2FC82" w14:textId="77777777" w:rsidR="005A62FB" w:rsidRPr="008348DA" w:rsidRDefault="005A62FB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 w:rsidRPr="008348DA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8" w:type="dxa"/>
          </w:tcPr>
          <w:p w14:paraId="7DB4EC3B" w14:textId="1AA89462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4" w:type="dxa"/>
          </w:tcPr>
          <w:p w14:paraId="086A5000" w14:textId="25C9CA46" w:rsidR="005A62FB" w:rsidRPr="008348DA" w:rsidRDefault="005A62FB" w:rsidP="00DB739A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Return as quickly as possible but no later than</w:t>
            </w:r>
            <w:r w:rsidR="009A490B" w:rsidRPr="008348DA">
              <w:rPr>
                <w:rFonts w:cs="Arial"/>
                <w:b/>
                <w:bCs/>
                <w:sz w:val="28"/>
              </w:rPr>
              <w:t xml:space="preserve"> </w:t>
            </w:r>
            <w:r w:rsidR="00DB739A">
              <w:rPr>
                <w:rFonts w:cs="Arial"/>
                <w:b/>
                <w:bCs/>
                <w:sz w:val="28"/>
              </w:rPr>
              <w:t>28 June</w:t>
            </w:r>
            <w:r w:rsidR="00E912B3" w:rsidRPr="00DB739A">
              <w:rPr>
                <w:rFonts w:cs="Arial"/>
                <w:b/>
                <w:bCs/>
                <w:sz w:val="28"/>
              </w:rPr>
              <w:t xml:space="preserve"> 2019</w:t>
            </w:r>
            <w:r w:rsidR="008348DA">
              <w:rPr>
                <w:rFonts w:cs="Arial"/>
                <w:b/>
                <w:bCs/>
                <w:sz w:val="28"/>
              </w:rPr>
              <w:br/>
            </w:r>
          </w:p>
        </w:tc>
      </w:tr>
      <w:tr w:rsidR="005A62FB" w14:paraId="53AA38B8" w14:textId="77777777" w:rsidTr="00C278EB">
        <w:trPr>
          <w:trHeight w:val="1047"/>
        </w:trPr>
        <w:tc>
          <w:tcPr>
            <w:tcW w:w="1133" w:type="dxa"/>
          </w:tcPr>
          <w:p w14:paraId="17AC29F4" w14:textId="45DF0B47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 w:rsidRPr="008348DA"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D244D7" w14:textId="77777777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1A5906FA" w14:textId="4226C99E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4" w:type="dxa"/>
            <w:vMerge w:val="restart"/>
            <w:vAlign w:val="center"/>
          </w:tcPr>
          <w:p w14:paraId="646D6435" w14:textId="3F677ECA" w:rsidR="005A62FB" w:rsidRDefault="005A62FB" w:rsidP="00DB739A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 w:rsidRPr="008348DA">
              <w:rPr>
                <w:rFonts w:cs="Arial"/>
                <w:b/>
                <w:bCs/>
                <w:sz w:val="28"/>
              </w:rPr>
              <w:t>Return as soon as possible after receiving the Commission’s detailed spreadsheets but no later than</w:t>
            </w:r>
            <w:bookmarkEnd w:id="0"/>
            <w:r w:rsidR="009A490B" w:rsidRPr="008348DA">
              <w:rPr>
                <w:rFonts w:cs="Arial"/>
                <w:b/>
                <w:bCs/>
                <w:sz w:val="28"/>
              </w:rPr>
              <w:t xml:space="preserve"> </w:t>
            </w:r>
            <w:r w:rsidR="00DB739A">
              <w:rPr>
                <w:rFonts w:cs="Arial"/>
                <w:b/>
                <w:bCs/>
                <w:sz w:val="28"/>
              </w:rPr>
              <w:t>5</w:t>
            </w:r>
            <w:r w:rsidR="00612CA1">
              <w:rPr>
                <w:rFonts w:cs="Arial"/>
                <w:b/>
                <w:bCs/>
                <w:sz w:val="28"/>
              </w:rPr>
              <w:t xml:space="preserve"> July</w:t>
            </w:r>
            <w:r w:rsidR="00E912B3">
              <w:rPr>
                <w:rFonts w:cs="Arial"/>
                <w:b/>
                <w:bCs/>
                <w:sz w:val="28"/>
              </w:rPr>
              <w:t xml:space="preserve"> 2019</w:t>
            </w:r>
          </w:p>
        </w:tc>
      </w:tr>
      <w:tr w:rsidR="005A62FB" w14:paraId="339DC03A" w14:textId="77777777" w:rsidTr="0085446C">
        <w:tc>
          <w:tcPr>
            <w:tcW w:w="1133" w:type="dxa"/>
          </w:tcPr>
          <w:p w14:paraId="444EC12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55255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0985BC6B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4" w:type="dxa"/>
            <w:vMerge/>
          </w:tcPr>
          <w:p w14:paraId="6A9A117C" w14:textId="779246B8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5E4466A" w14:textId="5A830010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4F3822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B743F3">
        <w:rPr>
          <w:rFonts w:cs="Arial"/>
        </w:rPr>
        <w:t>.</w:t>
      </w:r>
      <w:r>
        <w:rPr>
          <w:rFonts w:cs="Arial"/>
        </w:rPr>
        <w:t xml:space="preserve"> </w:t>
      </w:r>
    </w:p>
    <w:p w14:paraId="616E261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9B79160" w14:textId="1B1890EE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 w:rsidRPr="00665B46">
        <w:rPr>
          <w:rFonts w:cs="Arial"/>
          <w:b/>
          <w:bCs/>
          <w:sz w:val="24"/>
          <w:u w:val="single"/>
        </w:rPr>
        <w:t xml:space="preserve">Return </w:t>
      </w:r>
      <w:r w:rsidR="00665B46" w:rsidRPr="00665B46">
        <w:rPr>
          <w:rFonts w:cs="Arial"/>
          <w:b/>
          <w:bCs/>
          <w:sz w:val="24"/>
          <w:u w:val="single"/>
        </w:rPr>
        <w:t>to</w:t>
      </w:r>
      <w:r w:rsidR="00665B46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 xml:space="preserve"> </w:t>
      </w:r>
    </w:p>
    <w:p w14:paraId="1159ED4C" w14:textId="16011671" w:rsidR="006A76C5" w:rsidRDefault="00665B46" w:rsidP="006A76C5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e</w:t>
      </w:r>
      <w:r w:rsidR="006A76C5" w:rsidRPr="00660654">
        <w:rPr>
          <w:rFonts w:cs="Arial"/>
          <w:b/>
          <w:bCs/>
          <w:sz w:val="24"/>
          <w:szCs w:val="24"/>
        </w:rPr>
        <w:t>-mail</w:t>
      </w:r>
      <w:r w:rsidR="002119AF">
        <w:rPr>
          <w:rFonts w:cs="Arial"/>
          <w:b/>
          <w:bCs/>
          <w:sz w:val="24"/>
          <w:szCs w:val="24"/>
        </w:rPr>
        <w:t xml:space="preserve"> (preferred)</w:t>
      </w:r>
      <w:r w:rsidR="006A76C5" w:rsidRPr="00660654">
        <w:rPr>
          <w:rFonts w:cs="Arial"/>
          <w:sz w:val="24"/>
          <w:szCs w:val="24"/>
        </w:rPr>
        <w:t xml:space="preserve">: </w:t>
      </w:r>
      <w:r w:rsidR="00CB4DCB" w:rsidRPr="00660654">
        <w:rPr>
          <w:rFonts w:cs="Arial"/>
          <w:sz w:val="24"/>
          <w:szCs w:val="24"/>
        </w:rPr>
        <w:tab/>
      </w:r>
      <w:r w:rsidR="00CB4DCB" w:rsidRPr="00660654">
        <w:rPr>
          <w:rFonts w:cs="Arial"/>
          <w:sz w:val="24"/>
          <w:szCs w:val="24"/>
        </w:rPr>
        <w:tab/>
      </w:r>
      <w:hyperlink r:id="rId12" w:history="1">
        <w:r w:rsidR="00B23AD4" w:rsidRPr="00FF5A45">
          <w:rPr>
            <w:rStyle w:val="Hyperlink"/>
            <w:rFonts w:cs="Arial"/>
            <w:sz w:val="24"/>
            <w:szCs w:val="24"/>
          </w:rPr>
          <w:t>investigations2@adcommission.gov.au</w:t>
        </w:r>
      </w:hyperlink>
      <w:r w:rsidR="002E6EB6">
        <w:rPr>
          <w:rStyle w:val="Hyperlink"/>
          <w:rFonts w:cs="Arial"/>
          <w:sz w:val="24"/>
          <w:szCs w:val="24"/>
        </w:rPr>
        <w:t xml:space="preserve"> </w:t>
      </w:r>
      <w:r w:rsidR="00F20655">
        <w:rPr>
          <w:rFonts w:cs="Arial"/>
          <w:sz w:val="24"/>
          <w:szCs w:val="24"/>
        </w:rPr>
        <w:t xml:space="preserve"> </w:t>
      </w:r>
    </w:p>
    <w:p w14:paraId="54D8E99E" w14:textId="21DA85C1" w:rsidR="002119AF" w:rsidRPr="00660654" w:rsidRDefault="00665B46" w:rsidP="002119AF">
      <w:pPr>
        <w:pStyle w:val="BodyText"/>
        <w:jc w:val="left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m</w:t>
      </w:r>
      <w:r w:rsidR="002119AF" w:rsidRPr="00660654">
        <w:rPr>
          <w:rFonts w:cs="Arial"/>
          <w:b/>
          <w:bCs/>
          <w:sz w:val="24"/>
          <w:szCs w:val="24"/>
        </w:rPr>
        <w:t>ail:</w:t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>
        <w:rPr>
          <w:rFonts w:cs="Arial"/>
          <w:b/>
          <w:bCs/>
          <w:sz w:val="24"/>
          <w:szCs w:val="24"/>
        </w:rPr>
        <w:tab/>
      </w:r>
      <w:r w:rsidR="002119AF">
        <w:rPr>
          <w:rFonts w:cs="Arial"/>
          <w:sz w:val="24"/>
          <w:szCs w:val="24"/>
        </w:rPr>
        <w:t>Director,</w:t>
      </w:r>
      <w:r w:rsidR="002119AF" w:rsidRPr="00660654">
        <w:rPr>
          <w:rFonts w:cs="Arial"/>
          <w:sz w:val="24"/>
          <w:szCs w:val="24"/>
        </w:rPr>
        <w:t xml:space="preserve"> Investigations </w:t>
      </w:r>
      <w:r w:rsidR="002119AF">
        <w:rPr>
          <w:rFonts w:cs="Arial"/>
          <w:sz w:val="24"/>
          <w:szCs w:val="24"/>
        </w:rPr>
        <w:t>2</w:t>
      </w:r>
    </w:p>
    <w:p w14:paraId="20874591" w14:textId="7009815E" w:rsidR="002119AF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Anti-Dumping Commission</w:t>
      </w:r>
    </w:p>
    <w:p w14:paraId="00848620" w14:textId="37B4EA23" w:rsidR="002119AF" w:rsidRPr="00660654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>GPO Box 2013</w:t>
      </w:r>
    </w:p>
    <w:p w14:paraId="771A20CF" w14:textId="25A7887D" w:rsidR="002119AF" w:rsidRPr="00660654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 w:rsidR="00612D67">
        <w:rPr>
          <w:rFonts w:cs="Arial"/>
          <w:sz w:val="24"/>
          <w:szCs w:val="24"/>
        </w:rPr>
        <w:t>Canberra ACT 2600</w:t>
      </w:r>
    </w:p>
    <w:p w14:paraId="4069A554" w14:textId="5CA99016" w:rsidR="002119AF" w:rsidRPr="00660654" w:rsidRDefault="00665B46" w:rsidP="002119AF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f</w:t>
      </w:r>
      <w:r w:rsidR="002119AF" w:rsidRPr="00660654">
        <w:rPr>
          <w:rFonts w:cs="Arial"/>
          <w:b/>
          <w:bCs/>
          <w:sz w:val="24"/>
          <w:szCs w:val="24"/>
        </w:rPr>
        <w:t>acsimile</w:t>
      </w:r>
      <w:r w:rsidR="002119AF" w:rsidRPr="00660654">
        <w:rPr>
          <w:rFonts w:cs="Arial"/>
          <w:sz w:val="24"/>
          <w:szCs w:val="24"/>
        </w:rPr>
        <w:t xml:space="preserve">:  </w:t>
      </w:r>
      <w:r w:rsidR="002119AF" w:rsidRPr="00660654">
        <w:rPr>
          <w:rFonts w:cs="Arial"/>
          <w:sz w:val="24"/>
          <w:szCs w:val="24"/>
        </w:rPr>
        <w:tab/>
      </w:r>
      <w:r w:rsidR="002119AF" w:rsidRPr="00660654">
        <w:rPr>
          <w:rFonts w:cs="Arial"/>
          <w:sz w:val="24"/>
          <w:szCs w:val="24"/>
        </w:rPr>
        <w:tab/>
      </w:r>
      <w:r w:rsidR="002119AF">
        <w:rPr>
          <w:rFonts w:cs="Arial"/>
          <w:sz w:val="24"/>
          <w:szCs w:val="24"/>
        </w:rPr>
        <w:tab/>
      </w:r>
      <w:r w:rsidR="002119AF" w:rsidRPr="00660654">
        <w:rPr>
          <w:color w:val="000000"/>
          <w:sz w:val="24"/>
          <w:szCs w:val="24"/>
          <w:lang w:eastAsia="en-AU"/>
        </w:rPr>
        <w:t>+613 8539 24</w:t>
      </w:r>
      <w:r w:rsidR="002119AF">
        <w:rPr>
          <w:color w:val="000000"/>
          <w:sz w:val="24"/>
          <w:szCs w:val="24"/>
          <w:lang w:eastAsia="en-AU"/>
        </w:rPr>
        <w:t>18</w:t>
      </w:r>
    </w:p>
    <w:p w14:paraId="46BC1119" w14:textId="77777777" w:rsidR="002119AF" w:rsidRPr="00660654" w:rsidRDefault="002119AF" w:rsidP="006A76C5">
      <w:pPr>
        <w:pStyle w:val="BodyText"/>
        <w:jc w:val="left"/>
        <w:rPr>
          <w:rFonts w:cs="Arial"/>
          <w:color w:val="FF0000"/>
          <w:sz w:val="24"/>
          <w:szCs w:val="24"/>
        </w:rPr>
      </w:pPr>
    </w:p>
    <w:p w14:paraId="41F12B4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C1695F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983132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4824F0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B090A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3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87617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6DD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F2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5AB1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341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A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7AE2C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FA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C1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BD0F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0A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3B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E5DA9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DE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C5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9D4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4F7E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B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AE8178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15F2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A9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BDAC1F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C79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58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907A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A4DCFA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45506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F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2A783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752353C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7D1308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3FEDC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7291EEB7" w14:textId="4A111ED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612CA1" w:rsidRPr="00612CA1">
        <w:rPr>
          <w:rFonts w:cs="Arial"/>
        </w:rPr>
        <w:t>hot dip galvanised steel angle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37F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9D7FFF6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2E8365A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1E0412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1D156D" w14:textId="77777777" w:rsidTr="00BA3EA1">
        <w:tc>
          <w:tcPr>
            <w:tcW w:w="4261" w:type="dxa"/>
          </w:tcPr>
          <w:p w14:paraId="132FCAC3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B8255A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BEF7651" w14:textId="77777777" w:rsidTr="00BA3EA1">
        <w:tc>
          <w:tcPr>
            <w:tcW w:w="4261" w:type="dxa"/>
          </w:tcPr>
          <w:p w14:paraId="70CBD9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752BB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7A8B23" w14:textId="77777777" w:rsidTr="00BA3EA1">
        <w:tc>
          <w:tcPr>
            <w:tcW w:w="4261" w:type="dxa"/>
          </w:tcPr>
          <w:p w14:paraId="4C9AB4F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1DB3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D755C4" w14:textId="77777777" w:rsidTr="00BA3EA1">
        <w:tc>
          <w:tcPr>
            <w:tcW w:w="4261" w:type="dxa"/>
          </w:tcPr>
          <w:p w14:paraId="24388C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86BC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A55781" w14:textId="77777777" w:rsidTr="00BA3EA1">
        <w:tc>
          <w:tcPr>
            <w:tcW w:w="4261" w:type="dxa"/>
          </w:tcPr>
          <w:p w14:paraId="650222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03FA4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1713F35" w14:textId="77777777" w:rsidTr="00BA3EA1">
        <w:tc>
          <w:tcPr>
            <w:tcW w:w="4261" w:type="dxa"/>
          </w:tcPr>
          <w:p w14:paraId="771A9DF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2A1B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F0DFB0" w14:textId="77777777" w:rsidTr="00BA3EA1">
        <w:tc>
          <w:tcPr>
            <w:tcW w:w="4261" w:type="dxa"/>
          </w:tcPr>
          <w:p w14:paraId="409295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7BE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E7A4E0" w14:textId="77777777" w:rsidTr="00BA3EA1">
        <w:tc>
          <w:tcPr>
            <w:tcW w:w="4261" w:type="dxa"/>
          </w:tcPr>
          <w:p w14:paraId="11C24F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6B4F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2C40566" w14:textId="77777777" w:rsidTr="00BA3EA1">
        <w:tc>
          <w:tcPr>
            <w:tcW w:w="4261" w:type="dxa"/>
          </w:tcPr>
          <w:p w14:paraId="7AACFF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D8F1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BDF01B" w14:textId="77777777" w:rsidTr="00BA3EA1">
        <w:tc>
          <w:tcPr>
            <w:tcW w:w="4261" w:type="dxa"/>
          </w:tcPr>
          <w:p w14:paraId="651010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464D7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EBBBF8B" w14:textId="77777777" w:rsidTr="00BA3EA1">
        <w:tc>
          <w:tcPr>
            <w:tcW w:w="4261" w:type="dxa"/>
          </w:tcPr>
          <w:p w14:paraId="60B0F9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059C3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2F4C45" w14:textId="77777777" w:rsidTr="00BA3EA1">
        <w:tc>
          <w:tcPr>
            <w:tcW w:w="4261" w:type="dxa"/>
          </w:tcPr>
          <w:p w14:paraId="53AFEB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DED2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8DD392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5FA8671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04874D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3C75E53" w14:textId="03BBA118" w:rsidR="00C802E7" w:rsidRDefault="0075373C" w:rsidP="0075373C">
      <w:pPr>
        <w:tabs>
          <w:tab w:val="left" w:pos="599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27A8FB0" w14:textId="45187C84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</w:t>
      </w:r>
      <w:r w:rsidRPr="00A8210B">
        <w:rPr>
          <w:rFonts w:ascii="Arial" w:hAnsi="Arial" w:cs="Arial"/>
          <w:bCs/>
          <w:sz w:val="22"/>
        </w:rPr>
        <w:t xml:space="preserve">ase complete the below information for your </w:t>
      </w:r>
      <w:r w:rsidR="00A8210B">
        <w:rPr>
          <w:rFonts w:ascii="Arial" w:hAnsi="Arial" w:cs="Arial"/>
          <w:bCs/>
          <w:sz w:val="22"/>
        </w:rPr>
        <w:t>supply</w:t>
      </w:r>
      <w:r w:rsidRPr="00A8210B">
        <w:rPr>
          <w:rFonts w:ascii="Arial" w:hAnsi="Arial" w:cs="Arial"/>
          <w:bCs/>
          <w:sz w:val="22"/>
        </w:rPr>
        <w:t xml:space="preserve"> of </w:t>
      </w:r>
      <w:r w:rsidR="00612CA1" w:rsidRPr="00612CA1">
        <w:rPr>
          <w:rFonts w:ascii="Arial" w:hAnsi="Arial" w:cs="Arial"/>
          <w:bCs/>
          <w:sz w:val="22"/>
        </w:rPr>
        <w:t>hot dip galvanised steel angle</w:t>
      </w:r>
      <w:r w:rsidR="00323348">
        <w:rPr>
          <w:rFonts w:ascii="Arial" w:hAnsi="Arial" w:cs="Arial"/>
          <w:bCs/>
          <w:sz w:val="22"/>
        </w:rPr>
        <w:t xml:space="preserve"> </w:t>
      </w:r>
      <w:r w:rsidR="00A8210B">
        <w:rPr>
          <w:rFonts w:ascii="Arial" w:hAnsi="Arial" w:cs="Arial"/>
          <w:bCs/>
          <w:sz w:val="22"/>
        </w:rPr>
        <w:t xml:space="preserve">from </w:t>
      </w:r>
      <w:r w:rsidR="00323348">
        <w:rPr>
          <w:rFonts w:ascii="Arial" w:hAnsi="Arial" w:cs="Arial"/>
          <w:bCs/>
          <w:sz w:val="22"/>
        </w:rPr>
        <w:t>China</w:t>
      </w:r>
      <w:r w:rsidRPr="00A8210B">
        <w:rPr>
          <w:rFonts w:ascii="Arial" w:hAnsi="Arial" w:cs="Arial"/>
          <w:bCs/>
          <w:sz w:val="22"/>
        </w:rPr>
        <w:t xml:space="preserve"> (using a new box for each supplier). </w:t>
      </w:r>
    </w:p>
    <w:p w14:paraId="72E71E63" w14:textId="77777777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2785B8CC" w14:textId="7CEC2F55" w:rsidR="006A76C5" w:rsidRDefault="00A8210B" w:rsidP="006A76C5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612CA1" w:rsidRPr="00612CA1">
        <w:rPr>
          <w:rFonts w:ascii="Arial" w:hAnsi="Arial" w:cs="Arial"/>
          <w:bCs/>
          <w:sz w:val="22"/>
        </w:rPr>
        <w:t>hot dip galvanised steel angle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323348">
        <w:rPr>
          <w:rFonts w:ascii="Arial" w:hAnsi="Arial" w:cs="Arial"/>
          <w:bCs/>
          <w:sz w:val="22"/>
        </w:rPr>
        <w:t>China</w:t>
      </w:r>
      <w:r w:rsidRPr="00C802E7">
        <w:rPr>
          <w:rFonts w:ascii="Arial" w:hAnsi="Arial" w:cs="Arial"/>
          <w:bCs/>
          <w:sz w:val="22"/>
        </w:rPr>
        <w:t>, please provide de</w:t>
      </w:r>
      <w:r>
        <w:rPr>
          <w:rFonts w:ascii="Arial" w:hAnsi="Arial" w:cs="Arial"/>
          <w:bCs/>
          <w:sz w:val="22"/>
        </w:rPr>
        <w:t>tails of the supplier(s) of the</w:t>
      </w:r>
      <w:r w:rsidRPr="00C802E7">
        <w:rPr>
          <w:rFonts w:ascii="Arial" w:hAnsi="Arial" w:cs="Arial"/>
          <w:bCs/>
          <w:sz w:val="22"/>
        </w:rPr>
        <w:t xml:space="preserve"> </w:t>
      </w:r>
      <w:r w:rsidR="00AB3010">
        <w:rPr>
          <w:rFonts w:ascii="Arial" w:hAnsi="Arial" w:cs="Arial"/>
          <w:bCs/>
          <w:sz w:val="22"/>
        </w:rPr>
        <w:t xml:space="preserve">hot dip galvanised steel </w:t>
      </w:r>
      <w:r w:rsidR="00323348">
        <w:rPr>
          <w:rFonts w:ascii="Arial" w:hAnsi="Arial" w:cs="Arial"/>
          <w:bCs/>
          <w:sz w:val="22"/>
        </w:rPr>
        <w:t>angle</w:t>
      </w:r>
      <w:r>
        <w:rPr>
          <w:rFonts w:ascii="Arial" w:hAnsi="Arial" w:cs="Arial"/>
          <w:bCs/>
          <w:sz w:val="22"/>
        </w:rPr>
        <w:t>.</w:t>
      </w:r>
    </w:p>
    <w:p w14:paraId="500F3543" w14:textId="77777777" w:rsidR="00A8210B" w:rsidRDefault="00A8210B" w:rsidP="006A76C5">
      <w:pPr>
        <w:jc w:val="both"/>
        <w:rPr>
          <w:rFonts w:ascii="Arial" w:hAnsi="Arial" w:cs="Arial"/>
          <w:sz w:val="20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833"/>
      </w:tblGrid>
      <w:tr w:rsidR="00C802E7" w14:paraId="326AFFAE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C4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B18" w14:textId="79C8090B" w:rsidR="00C802E7" w:rsidRDefault="00612CA1" w:rsidP="00211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Hot Dip Galvanised Steel Angle</w:t>
            </w:r>
          </w:p>
        </w:tc>
      </w:tr>
      <w:tr w:rsidR="00D70A70" w14:paraId="0B74B6CD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88B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611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821A62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7FF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D5BB22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4036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6FA27EF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0477" w14:textId="77777777" w:rsidR="00C802E7" w:rsidRDefault="00CC637A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Models supplied:</w:t>
            </w:r>
          </w:p>
          <w:p w14:paraId="1A3ACF03" w14:textId="3A545CE3" w:rsidR="002119AF" w:rsidRDefault="002119AF" w:rsidP="00211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(Please refer to ADN </w:t>
            </w:r>
            <w:r w:rsidR="0006039C" w:rsidRPr="0006039C">
              <w:rPr>
                <w:rFonts w:ascii="Arial" w:hAnsi="Arial" w:cs="Arial"/>
                <w:sz w:val="20"/>
              </w:rPr>
              <w:t>2019/79</w:t>
            </w:r>
            <w:r>
              <w:rPr>
                <w:rFonts w:ascii="Arial" w:hAnsi="Arial" w:cs="Arial"/>
                <w:sz w:val="20"/>
              </w:rPr>
              <w:t xml:space="preserve"> on the Commission’s website for the Commission’s proposed model control code)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5C6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A99F47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E0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39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42106CA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5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CFB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2FD2906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C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49D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AEEEB24" w14:textId="77777777" w:rsidTr="00665B4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C86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458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01EA20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862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DB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1F326D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78C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27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98A8F75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4A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C8F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F348BFA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2B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B00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977C20A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F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6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A3915D0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73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FD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F66BB5F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AF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2EE5B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93015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4C6A4AE" w14:textId="09E188CF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7C54AB">
        <w:rPr>
          <w:rFonts w:ascii="Arial" w:hAnsi="Arial" w:cs="Arial"/>
          <w:b/>
          <w:bCs/>
          <w:sz w:val="22"/>
        </w:rPr>
        <w:t>investigation</w:t>
      </w:r>
    </w:p>
    <w:p w14:paraId="23A870CB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FFBDD76" w14:textId="0C61C160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8210B">
        <w:rPr>
          <w:rFonts w:ascii="Arial" w:hAnsi="Arial" w:cs="Arial"/>
          <w:sz w:val="22"/>
        </w:rPr>
        <w:t xml:space="preserve"> </w:t>
      </w:r>
      <w:r w:rsidR="00612CA1" w:rsidRPr="00612CA1">
        <w:rPr>
          <w:rFonts w:ascii="Arial" w:hAnsi="Arial" w:cs="Arial"/>
          <w:sz w:val="22"/>
        </w:rPr>
        <w:t>hot dip galvanised steel angle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</w:t>
      </w:r>
      <w:r w:rsidR="00D70A70" w:rsidRPr="00A8210B">
        <w:rPr>
          <w:rFonts w:ascii="Arial" w:hAnsi="Arial" w:cs="Arial"/>
          <w:sz w:val="22"/>
        </w:rPr>
        <w:t xml:space="preserve">the </w:t>
      </w:r>
      <w:r w:rsidR="00612CA1" w:rsidRPr="00612CA1">
        <w:rPr>
          <w:rFonts w:ascii="Arial" w:hAnsi="Arial" w:cs="Arial"/>
          <w:sz w:val="22"/>
        </w:rPr>
        <w:t>hot dip galvanised steel angle</w:t>
      </w:r>
      <w:r w:rsidR="00D70A70" w:rsidRPr="00A8210B">
        <w:rPr>
          <w:rFonts w:ascii="Arial" w:hAnsi="Arial" w:cs="Arial"/>
          <w:sz w:val="22"/>
        </w:rPr>
        <w:t xml:space="preserve"> supplied </w:t>
      </w:r>
      <w:r w:rsidR="00D70A70">
        <w:rPr>
          <w:rFonts w:ascii="Arial" w:hAnsi="Arial" w:cs="Arial"/>
          <w:sz w:val="22"/>
        </w:rPr>
        <w:t>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C6BB6CE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44843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E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3D" w14:textId="7CA4AFA3" w:rsidR="00D70A70" w:rsidRDefault="00612CA1" w:rsidP="00665B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Hot Dip Galvanised Steel Angle</w:t>
            </w:r>
          </w:p>
        </w:tc>
      </w:tr>
      <w:tr w:rsidR="00D70A70" w14:paraId="51AD1B7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5100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2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9273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C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1D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727E7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D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78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A94B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D9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95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A7969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0A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A3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7D4C0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47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143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72180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FA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CC3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8B0E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EC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47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8496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1B1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4677E5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F3A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6D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95AC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D2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F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F2E6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7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5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C31F9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7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6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A6587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525BD57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3DD8F8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5D79DCA" w14:textId="65372FCE" w:rsidR="00B249FC" w:rsidRDefault="00F02047" w:rsidP="00BB40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4330DC">
        <w:rPr>
          <w:rFonts w:ascii="Arial" w:hAnsi="Arial" w:cs="Arial"/>
          <w:sz w:val="22"/>
          <w:szCs w:val="22"/>
        </w:rPr>
        <w:t>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BB4054">
        <w:rPr>
          <w:rFonts w:ascii="Arial" w:hAnsi="Arial" w:cs="Arial"/>
          <w:sz w:val="22"/>
          <w:szCs w:val="22"/>
        </w:rPr>
        <w:t xml:space="preserve">. </w:t>
      </w:r>
      <w:r w:rsidR="002119AF">
        <w:rPr>
          <w:rFonts w:ascii="Arial" w:hAnsi="Arial" w:cs="Arial"/>
          <w:sz w:val="22"/>
          <w:szCs w:val="22"/>
        </w:rPr>
        <w:t>As</w:t>
      </w:r>
      <w:r w:rsidR="00BB4054" w:rsidRPr="00AB31AE">
        <w:rPr>
          <w:rFonts w:ascii="Arial" w:hAnsi="Arial" w:cs="Arial"/>
          <w:sz w:val="22"/>
          <w:szCs w:val="22"/>
        </w:rPr>
        <w:t xml:space="preserve"> the deadline for responding with this questionnaire is </w:t>
      </w:r>
      <w:r w:rsidR="002540F2">
        <w:rPr>
          <w:rFonts w:ascii="Arial" w:hAnsi="Arial" w:cs="Arial"/>
          <w:sz w:val="22"/>
          <w:szCs w:val="22"/>
        </w:rPr>
        <w:t>5</w:t>
      </w:r>
      <w:r w:rsidR="00612CA1">
        <w:rPr>
          <w:rFonts w:ascii="Arial" w:hAnsi="Arial" w:cs="Arial"/>
          <w:sz w:val="22"/>
          <w:szCs w:val="22"/>
        </w:rPr>
        <w:t xml:space="preserve"> July</w:t>
      </w:r>
      <w:r w:rsidR="00E912B3" w:rsidRPr="00AB31AE">
        <w:rPr>
          <w:rFonts w:ascii="Arial" w:hAnsi="Arial" w:cs="Arial"/>
          <w:sz w:val="22"/>
          <w:szCs w:val="22"/>
        </w:rPr>
        <w:t xml:space="preserve"> 2019</w:t>
      </w:r>
      <w:r w:rsidR="003B6447" w:rsidRPr="00AB31AE">
        <w:rPr>
          <w:rFonts w:ascii="Arial" w:hAnsi="Arial" w:cs="Arial"/>
          <w:sz w:val="22"/>
          <w:szCs w:val="22"/>
        </w:rPr>
        <w:t>,</w:t>
      </w:r>
      <w:r w:rsidR="00BB4054" w:rsidRPr="00AB31AE">
        <w:rPr>
          <w:rFonts w:ascii="Arial" w:hAnsi="Arial" w:cs="Arial"/>
          <w:sz w:val="22"/>
          <w:szCs w:val="22"/>
        </w:rPr>
        <w:t xml:space="preserve"> the Commission proposes to make arrangments for v</w:t>
      </w:r>
      <w:r w:rsidR="002119AF">
        <w:rPr>
          <w:rFonts w:ascii="Arial" w:hAnsi="Arial" w:cs="Arial"/>
          <w:sz w:val="22"/>
          <w:szCs w:val="22"/>
        </w:rPr>
        <w:t xml:space="preserve">isits to be conducted in the </w:t>
      </w:r>
      <w:r w:rsidR="00196017">
        <w:rPr>
          <w:rFonts w:ascii="Arial" w:hAnsi="Arial" w:cs="Arial"/>
          <w:sz w:val="22"/>
          <w:szCs w:val="22"/>
        </w:rPr>
        <w:t>week starting 8</w:t>
      </w:r>
      <w:r w:rsidR="00612CA1">
        <w:rPr>
          <w:rFonts w:ascii="Arial" w:hAnsi="Arial" w:cs="Arial"/>
          <w:sz w:val="22"/>
          <w:szCs w:val="22"/>
        </w:rPr>
        <w:t xml:space="preserve"> July</w:t>
      </w:r>
      <w:r w:rsidR="00BB4054" w:rsidRPr="00AB31AE">
        <w:rPr>
          <w:rFonts w:ascii="Arial" w:hAnsi="Arial" w:cs="Arial"/>
          <w:sz w:val="22"/>
          <w:szCs w:val="22"/>
        </w:rPr>
        <w:t xml:space="preserve"> 2019.</w:t>
      </w:r>
    </w:p>
    <w:p w14:paraId="3BCCF1E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068E224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12B853E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47769B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cs="Arial"/>
        </w:rPr>
        <w:t>_____</w:t>
      </w:r>
    </w:p>
    <w:p w14:paraId="341F25B6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9F6929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736315D4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9E89BB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57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5C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135F602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A3D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13C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C4EA1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A8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E6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427D7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088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B2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B3160A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B33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506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3309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7C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9ADF3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940" w14:textId="351223BA" w:rsidR="006A76C5" w:rsidRDefault="00965993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6A76C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719EF8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5EC31BD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13CE87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8AFF288" w14:textId="2888A3B4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</w:t>
      </w:r>
      <w:r w:rsidR="002E547B" w:rsidRPr="004330DC">
        <w:rPr>
          <w:rFonts w:ascii="Arial" w:hAnsi="Arial" w:cs="Arial"/>
          <w:sz w:val="22"/>
        </w:rPr>
        <w:t xml:space="preserve">later than </w:t>
      </w:r>
      <w:r w:rsidR="00DB739A">
        <w:rPr>
          <w:rFonts w:ascii="Arial" w:hAnsi="Arial" w:cs="Arial"/>
          <w:sz w:val="22"/>
        </w:rPr>
        <w:t xml:space="preserve">5 </w:t>
      </w:r>
      <w:r w:rsidR="00C44BA3">
        <w:rPr>
          <w:rFonts w:ascii="Arial" w:hAnsi="Arial" w:cs="Arial"/>
          <w:sz w:val="22"/>
        </w:rPr>
        <w:t>July</w:t>
      </w:r>
      <w:r w:rsidR="00EE5214" w:rsidRPr="004330DC">
        <w:rPr>
          <w:rFonts w:ascii="Arial" w:hAnsi="Arial" w:cs="Arial"/>
          <w:sz w:val="22"/>
        </w:rPr>
        <w:t xml:space="preserve"> 201</w:t>
      </w:r>
      <w:r w:rsidR="003B6447">
        <w:rPr>
          <w:rFonts w:ascii="Arial" w:hAnsi="Arial" w:cs="Arial"/>
          <w:sz w:val="22"/>
        </w:rPr>
        <w:t>9</w:t>
      </w:r>
      <w:r w:rsidR="00EE5214" w:rsidRPr="004330DC">
        <w:rPr>
          <w:rFonts w:ascii="Arial" w:hAnsi="Arial" w:cs="Arial"/>
          <w:sz w:val="22"/>
        </w:rPr>
        <w:t>.</w:t>
      </w:r>
    </w:p>
    <w:p w14:paraId="50F80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ADF876F" w14:textId="2C23254A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D5003E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D5003E" w:rsidRPr="00D5003E">
        <w:rPr>
          <w:rFonts w:cs="Arial"/>
        </w:rPr>
        <w:t xml:space="preserve">the </w:t>
      </w:r>
      <w:r w:rsidR="00651808">
        <w:rPr>
          <w:rFonts w:cs="Arial"/>
        </w:rPr>
        <w:t>hot dip galvanised steel</w:t>
      </w:r>
      <w:r w:rsidR="00671436">
        <w:rPr>
          <w:rFonts w:cs="Arial"/>
        </w:rPr>
        <w:t xml:space="preserve"> angle</w:t>
      </w:r>
      <w:r w:rsidRPr="00D5003E">
        <w:rPr>
          <w:rFonts w:cs="Arial"/>
        </w:rPr>
        <w:t xml:space="preserve"> under </w:t>
      </w:r>
      <w:r w:rsidR="007C54AB">
        <w:rPr>
          <w:rFonts w:cs="Arial"/>
        </w:rPr>
        <w:t>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4F3822">
        <w:rPr>
          <w:rFonts w:cs="Arial"/>
        </w:rPr>
        <w:t xml:space="preserve">after receiving your </w:t>
      </w:r>
      <w:r w:rsidR="009D00A1">
        <w:rPr>
          <w:rFonts w:cs="Arial"/>
        </w:rPr>
        <w:t>P</w:t>
      </w:r>
      <w:r w:rsidR="004F3822">
        <w:rPr>
          <w:rFonts w:cs="Arial"/>
        </w:rPr>
        <w:t xml:space="preserve">art A response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</w:t>
      </w:r>
      <w:r w:rsidR="00D5003E">
        <w:rPr>
          <w:rFonts w:cs="Arial"/>
        </w:rPr>
        <w:t xml:space="preserve">of </w:t>
      </w:r>
      <w:r w:rsidR="00C44BA3" w:rsidRPr="00C44BA3">
        <w:rPr>
          <w:rFonts w:cs="Arial"/>
        </w:rPr>
        <w:t>hot dip galvanised steel angle</w:t>
      </w:r>
      <w:r w:rsidR="00B249FC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 xml:space="preserve">1 </w:t>
      </w:r>
      <w:r w:rsidR="003B6447">
        <w:rPr>
          <w:rFonts w:cs="Arial"/>
          <w:b/>
          <w:lang w:val="en-US"/>
        </w:rPr>
        <w:t>January</w:t>
      </w:r>
      <w:r w:rsidR="00E31EBF">
        <w:rPr>
          <w:rFonts w:cs="Arial"/>
          <w:b/>
          <w:lang w:val="en-US"/>
        </w:rPr>
        <w:t xml:space="preserve"> 201</w:t>
      </w:r>
      <w:r w:rsidR="003B6447">
        <w:rPr>
          <w:rFonts w:cs="Arial"/>
          <w:b/>
          <w:lang w:val="en-US"/>
        </w:rPr>
        <w:t>8</w:t>
      </w:r>
      <w:r w:rsidR="0075373C">
        <w:rPr>
          <w:rFonts w:cs="Arial"/>
          <w:lang w:val="en-US"/>
        </w:rPr>
        <w:t xml:space="preserve"> to </w:t>
      </w:r>
      <w:r w:rsidR="003B6447">
        <w:rPr>
          <w:rFonts w:cs="Arial"/>
          <w:b/>
          <w:lang w:val="en-US"/>
        </w:rPr>
        <w:t>31</w:t>
      </w:r>
      <w:r w:rsidR="00E31EBF">
        <w:rPr>
          <w:rFonts w:cs="Arial"/>
          <w:b/>
          <w:lang w:val="en-US"/>
        </w:rPr>
        <w:t xml:space="preserve"> </w:t>
      </w:r>
      <w:r w:rsidR="003B6447">
        <w:rPr>
          <w:rFonts w:cs="Arial"/>
          <w:b/>
          <w:lang w:val="en-US"/>
        </w:rPr>
        <w:t>December</w:t>
      </w:r>
      <w:r w:rsidR="0075373C" w:rsidRPr="00B743F3">
        <w:rPr>
          <w:rFonts w:cs="Arial"/>
          <w:b/>
          <w:lang w:val="en-US"/>
        </w:rPr>
        <w:t xml:space="preserve"> 2018</w:t>
      </w:r>
      <w:r w:rsidRPr="00EE5214">
        <w:rPr>
          <w:rFonts w:cs="Arial"/>
        </w:rPr>
        <w:t>.</w:t>
      </w:r>
      <w:r>
        <w:rPr>
          <w:rFonts w:cs="Arial"/>
        </w:rPr>
        <w:t xml:space="preserve">  </w:t>
      </w:r>
    </w:p>
    <w:p w14:paraId="4C5B9CBE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19902AE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608CF5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B07E9E4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9A4B82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F389DD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A0BD8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6B9B13" w14:textId="1F827168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</w:t>
      </w:r>
      <w:r w:rsidRPr="00D5003E">
        <w:rPr>
          <w:rFonts w:ascii="Arial" w:hAnsi="Arial" w:cs="Arial"/>
          <w:sz w:val="22"/>
        </w:rPr>
        <w:t xml:space="preserve">included </w:t>
      </w:r>
      <w:r w:rsidR="002E547B" w:rsidRPr="00D5003E">
        <w:rPr>
          <w:rFonts w:ascii="Arial" w:hAnsi="Arial" w:cs="Arial"/>
          <w:sz w:val="22"/>
        </w:rPr>
        <w:t>in the “</w:t>
      </w:r>
      <w:r w:rsidR="00C44BA3" w:rsidRPr="00C44BA3">
        <w:rPr>
          <w:rFonts w:ascii="Arial" w:hAnsi="Arial" w:cs="Arial"/>
          <w:sz w:val="22"/>
        </w:rPr>
        <w:t>hot dip galvanised steel angle</w:t>
      </w:r>
      <w:r w:rsidR="002E547B" w:rsidRPr="00D5003E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7228FE84" w14:textId="6A455B6D" w:rsidR="002E547B" w:rsidRDefault="00C44BA3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9B90D42" w14:textId="5266FBFB" w:rsidR="006A76C5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The spreadsheet should contain costs and sales data for the selected shipments of</w:t>
      </w:r>
      <w:r w:rsidRPr="00D5003E">
        <w:rPr>
          <w:rFonts w:cs="Arial"/>
        </w:rPr>
        <w:t xml:space="preserve"> </w:t>
      </w:r>
      <w:r w:rsidR="00C44BA3" w:rsidRPr="00C44BA3">
        <w:rPr>
          <w:rFonts w:cs="Arial"/>
        </w:rPr>
        <w:t>hot dip galvanised steel angle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exported</w:t>
      </w:r>
      <w:r>
        <w:rPr>
          <w:rFonts w:cs="Arial"/>
        </w:rPr>
        <w:t xml:space="preserve"> from</w:t>
      </w:r>
      <w:r w:rsidRPr="00D5003E">
        <w:rPr>
          <w:rFonts w:cs="Arial"/>
        </w:rPr>
        <w:t xml:space="preserve"> </w:t>
      </w:r>
      <w:r w:rsidR="00671436">
        <w:rPr>
          <w:rFonts w:cs="Arial"/>
        </w:rPr>
        <w:t>China</w:t>
      </w:r>
      <w:r w:rsidR="00D5003E" w:rsidRPr="00D5003E">
        <w:rPr>
          <w:rFonts w:cs="Arial"/>
        </w:rPr>
        <w:t xml:space="preserve"> </w:t>
      </w:r>
      <w:r w:rsidR="002E547B">
        <w:rPr>
          <w:rFonts w:cs="Arial"/>
        </w:rPr>
        <w:t xml:space="preserve">since </w:t>
      </w:r>
      <w:r w:rsidR="00EE5214">
        <w:rPr>
          <w:rFonts w:cs="Arial"/>
          <w:lang w:val="en-US"/>
        </w:rPr>
        <w:t xml:space="preserve">1 </w:t>
      </w:r>
      <w:r w:rsidR="003B6447">
        <w:rPr>
          <w:rFonts w:cs="Arial"/>
          <w:lang w:val="en-US"/>
        </w:rPr>
        <w:t>January</w:t>
      </w:r>
      <w:r w:rsidR="00EE5214" w:rsidRPr="0066582C">
        <w:rPr>
          <w:rFonts w:cs="Arial"/>
          <w:lang w:val="en-US"/>
        </w:rPr>
        <w:t xml:space="preserve"> 201</w:t>
      </w:r>
      <w:r w:rsidR="003B6447">
        <w:rPr>
          <w:rFonts w:cs="Arial"/>
          <w:lang w:val="en-US"/>
        </w:rPr>
        <w:t>8</w:t>
      </w:r>
      <w:r w:rsidR="00EE5214">
        <w:rPr>
          <w:rFonts w:cs="Arial"/>
          <w:lang w:val="en-US"/>
        </w:rPr>
        <w:t xml:space="preserve">. </w:t>
      </w:r>
      <w:r>
        <w:rPr>
          <w:rFonts w:cs="Arial"/>
        </w:rPr>
        <w:t>The completed spreadsheet should be returned a</w:t>
      </w:r>
      <w:r w:rsidR="002E547B">
        <w:rPr>
          <w:rFonts w:cs="Arial"/>
        </w:rPr>
        <w:t>s part of your Part B response, along with details of your forward orders (see B.3 below).</w:t>
      </w:r>
    </w:p>
    <w:p w14:paraId="3B3E67D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221B76" w14:textId="1BD984F3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A172B7">
        <w:rPr>
          <w:rFonts w:ascii="Arial" w:hAnsi="Arial" w:cs="Arial"/>
          <w:sz w:val="22"/>
        </w:rPr>
        <w:t xml:space="preserve">(Please note that you cannot complete this part of the questionnaire until </w:t>
      </w:r>
      <w:r w:rsidR="00F02047" w:rsidRPr="00A172B7">
        <w:rPr>
          <w:rFonts w:ascii="Arial" w:hAnsi="Arial" w:cs="Arial"/>
          <w:sz w:val="22"/>
        </w:rPr>
        <w:t>the Commission</w:t>
      </w:r>
      <w:r w:rsidRPr="00A172B7">
        <w:rPr>
          <w:rFonts w:ascii="Arial" w:hAnsi="Arial" w:cs="Arial"/>
          <w:sz w:val="22"/>
        </w:rPr>
        <w:t xml:space="preserve"> provides you with the respe</w:t>
      </w:r>
      <w:r w:rsidR="00F02047" w:rsidRPr="00A172B7">
        <w:rPr>
          <w:rFonts w:ascii="Arial" w:hAnsi="Arial" w:cs="Arial"/>
          <w:sz w:val="22"/>
        </w:rPr>
        <w:t>ctive listing of your imports. The Commission</w:t>
      </w:r>
      <w:r w:rsidRPr="00A172B7">
        <w:rPr>
          <w:rFonts w:ascii="Arial" w:hAnsi="Arial" w:cs="Arial"/>
          <w:sz w:val="22"/>
        </w:rPr>
        <w:t xml:space="preserve"> will contact you shortly in this regard after receiving Part A of the questionnaire).</w:t>
      </w:r>
    </w:p>
    <w:p w14:paraId="0B8469D8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1DD2D2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D19248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89B2B4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3D833A2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841BCD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7CF59E80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5CE890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F6B235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C368B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872D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3DF9E2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4C431E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5BAAFE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F9F9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41D6DE7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20A07D" w14:textId="17D38E31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2E547B" w:rsidRPr="00D5003E">
        <w:rPr>
          <w:rFonts w:cs="Arial"/>
        </w:rPr>
        <w:t>“</w:t>
      </w:r>
      <w:r w:rsidR="00C44BA3" w:rsidRPr="00C44BA3">
        <w:rPr>
          <w:rFonts w:cs="Arial"/>
        </w:rPr>
        <w:t>hot dip galvanised steel angle</w:t>
      </w:r>
      <w:r w:rsidR="00665B46">
        <w:rPr>
          <w:rFonts w:cs="Arial"/>
        </w:rPr>
        <w:t xml:space="preserve"> </w:t>
      </w:r>
      <w:r w:rsidR="002E547B">
        <w:rPr>
          <w:rFonts w:cs="Arial"/>
        </w:rPr>
        <w:t>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  <w:r w:rsidR="00671436">
        <w:rPr>
          <w:rFonts w:cs="Arial"/>
        </w:rPr>
        <w:t xml:space="preserve"> </w:t>
      </w:r>
    </w:p>
    <w:p w14:paraId="5DB9DCE2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E5BC58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1B4EC48" w14:textId="2F835504" w:rsidR="006A76C5" w:rsidRPr="00EE5214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 w:rsidRPr="00EE5214">
        <w:rPr>
          <w:rFonts w:ascii="Arial" w:hAnsi="Arial" w:cs="Arial"/>
          <w:sz w:val="22"/>
        </w:rPr>
        <w:t xml:space="preserve">Please return your responses to Part C </w:t>
      </w:r>
      <w:r w:rsidR="002E547B" w:rsidRPr="00EE5214">
        <w:rPr>
          <w:rFonts w:ascii="Arial" w:hAnsi="Arial" w:cs="Arial"/>
          <w:sz w:val="22"/>
        </w:rPr>
        <w:t xml:space="preserve">along with your response to Part B no later than </w:t>
      </w:r>
      <w:r w:rsidR="004C1655" w:rsidRPr="000226D1">
        <w:rPr>
          <w:rFonts w:ascii="Arial" w:hAnsi="Arial" w:cs="Arial"/>
          <w:sz w:val="22"/>
        </w:rPr>
        <w:t xml:space="preserve">COB </w:t>
      </w:r>
      <w:r w:rsidR="002916EC">
        <w:rPr>
          <w:rFonts w:ascii="Arial" w:hAnsi="Arial" w:cs="Arial"/>
          <w:sz w:val="22"/>
        </w:rPr>
        <w:t>5</w:t>
      </w:r>
      <w:r w:rsidR="00C44BA3">
        <w:rPr>
          <w:rFonts w:ascii="Arial" w:hAnsi="Arial" w:cs="Arial"/>
          <w:sz w:val="22"/>
        </w:rPr>
        <w:t xml:space="preserve"> July</w:t>
      </w:r>
      <w:r w:rsidR="004C1655" w:rsidRPr="000226D1">
        <w:rPr>
          <w:rFonts w:ascii="Arial" w:hAnsi="Arial" w:cs="Arial"/>
          <w:sz w:val="22"/>
        </w:rPr>
        <w:t xml:space="preserve"> 201</w:t>
      </w:r>
      <w:r w:rsidR="003B6447">
        <w:rPr>
          <w:rFonts w:ascii="Arial" w:hAnsi="Arial" w:cs="Arial"/>
          <w:sz w:val="22"/>
        </w:rPr>
        <w:t>9</w:t>
      </w:r>
      <w:r w:rsidR="00EE5214" w:rsidRPr="000226D1">
        <w:rPr>
          <w:rFonts w:ascii="Arial" w:hAnsi="Arial" w:cs="Arial"/>
          <w:sz w:val="22"/>
        </w:rPr>
        <w:t xml:space="preserve">.  </w:t>
      </w:r>
    </w:p>
    <w:p w14:paraId="74D9811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087DF063" w14:textId="77777777" w:rsidR="00145F33" w:rsidRPr="00145F33" w:rsidRDefault="00145F33" w:rsidP="00145F33">
      <w:pPr>
        <w:rPr>
          <w:rFonts w:ascii="Arial" w:hAnsi="Arial"/>
          <w:b/>
          <w:sz w:val="22"/>
        </w:rPr>
      </w:pPr>
      <w:r w:rsidRPr="00145F33">
        <w:rPr>
          <w:rFonts w:ascii="Arial" w:hAnsi="Arial"/>
          <w:b/>
          <w:sz w:val="22"/>
        </w:rPr>
        <w:t>C.1</w:t>
      </w:r>
      <w:r w:rsidRPr="00145F33">
        <w:rPr>
          <w:rFonts w:ascii="Arial" w:hAnsi="Arial"/>
          <w:b/>
          <w:sz w:val="22"/>
        </w:rPr>
        <w:tab/>
        <w:t>Your sales</w:t>
      </w:r>
    </w:p>
    <w:p w14:paraId="627BA8F4" w14:textId="105572A3" w:rsid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 w:cs="Arial"/>
          <w:sz w:val="22"/>
        </w:rPr>
        <w:t xml:space="preserve">Please provide details of all your sales in the Australian market of </w:t>
      </w:r>
      <w:r w:rsidR="00C44BA3" w:rsidRPr="00C44BA3">
        <w:rPr>
          <w:rFonts w:ascii="Arial" w:hAnsi="Arial" w:cs="Arial"/>
          <w:sz w:val="22"/>
        </w:rPr>
        <w:t xml:space="preserve">hot dip galvanised steel angle </w:t>
      </w:r>
      <w:r w:rsidRPr="00145F33">
        <w:rPr>
          <w:rFonts w:ascii="Arial" w:hAnsi="Arial" w:cs="Arial"/>
          <w:sz w:val="22"/>
        </w:rPr>
        <w:t xml:space="preserve">exported from China from 1 January 2018 to 31 December 2018 using the “Part C – Sales” spreadsheet. </w:t>
      </w:r>
      <w:r w:rsidRPr="00145F33">
        <w:rPr>
          <w:rFonts w:ascii="Arial" w:hAnsi="Arial"/>
          <w:snapToGrid w:val="0"/>
          <w:sz w:val="22"/>
          <w:szCs w:val="24"/>
        </w:rPr>
        <w:t>If you have used formulas to complete this spreadsheet, please retain</w:t>
      </w:r>
      <w:r w:rsidRPr="00145F33">
        <w:rPr>
          <w:rFonts w:ascii="Arial" w:hAnsi="Arial" w:cs="Arial"/>
          <w:sz w:val="22"/>
        </w:rPr>
        <w:t xml:space="preserve"> the </w:t>
      </w:r>
      <w:r w:rsidRPr="00145F33">
        <w:rPr>
          <w:rFonts w:ascii="Arial" w:hAnsi="Arial"/>
          <w:snapToGrid w:val="0"/>
          <w:sz w:val="22"/>
          <w:szCs w:val="24"/>
        </w:rPr>
        <w:t>formulas.</w:t>
      </w:r>
    </w:p>
    <w:p w14:paraId="66BFCB48" w14:textId="77777777" w:rsidR="00145F33" w:rsidRDefault="00145F33" w:rsidP="00145F33">
      <w:pPr>
        <w:rPr>
          <w:rFonts w:ascii="Arial" w:hAnsi="Arial"/>
          <w:snapToGrid w:val="0"/>
          <w:sz w:val="22"/>
          <w:szCs w:val="24"/>
        </w:rPr>
      </w:pPr>
    </w:p>
    <w:p w14:paraId="719BF6C6" w14:textId="77777777" w:rsidR="00145F33" w:rsidRPr="00145F33" w:rsidRDefault="00145F33" w:rsidP="00145F33">
      <w:pPr>
        <w:rPr>
          <w:rFonts w:ascii="Arial" w:hAnsi="Arial"/>
          <w:b/>
          <w:snapToGrid w:val="0"/>
          <w:sz w:val="22"/>
          <w:szCs w:val="24"/>
        </w:rPr>
      </w:pPr>
      <w:r w:rsidRPr="00145F33">
        <w:rPr>
          <w:rFonts w:ascii="Arial" w:hAnsi="Arial"/>
          <w:b/>
          <w:snapToGrid w:val="0"/>
          <w:sz w:val="22"/>
          <w:szCs w:val="24"/>
        </w:rPr>
        <w:t>Model Control Code</w:t>
      </w:r>
    </w:p>
    <w:p w14:paraId="07570FE8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/>
          <w:snapToGrid w:val="0"/>
          <w:sz w:val="22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3209E211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</w:p>
    <w:p w14:paraId="40327527" w14:textId="77777777" w:rsid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/>
          <w:snapToGrid w:val="0"/>
          <w:sz w:val="22"/>
          <w:szCs w:val="24"/>
        </w:rPr>
        <w:t>At a minimum, the category listed as mandatory must be reported in the sales spreadsheet.</w:t>
      </w:r>
    </w:p>
    <w:p w14:paraId="66FE5A4A" w14:textId="77777777" w:rsidR="00C44BA3" w:rsidRDefault="00C44BA3" w:rsidP="006A76C5">
      <w:pPr>
        <w:outlineLvl w:val="0"/>
        <w:rPr>
          <w:rFonts w:ascii="Arial" w:hAnsi="Arial" w:cs="Arial"/>
          <w:b/>
          <w:bCs/>
          <w:sz w:val="22"/>
        </w:rPr>
      </w:pPr>
    </w:p>
    <w:p w14:paraId="33D11B30" w14:textId="77777777" w:rsidR="00C44BA3" w:rsidRPr="00C44BA3" w:rsidRDefault="00C44BA3" w:rsidP="00C44BA3">
      <w:pPr>
        <w:rPr>
          <w:rFonts w:ascii="Arial" w:hAnsi="Arial"/>
          <w:b/>
          <w:snapToGrid w:val="0"/>
          <w:sz w:val="22"/>
          <w:szCs w:val="24"/>
          <w:u w:val="single"/>
        </w:rPr>
      </w:pPr>
      <w:r w:rsidRPr="00C44BA3">
        <w:rPr>
          <w:rFonts w:ascii="Arial" w:hAnsi="Arial"/>
          <w:b/>
          <w:snapToGrid w:val="0"/>
          <w:sz w:val="22"/>
          <w:szCs w:val="24"/>
          <w:u w:val="single"/>
        </w:rPr>
        <w:t>ADC’s SUGGESTED MCC:</w:t>
      </w:r>
    </w:p>
    <w:p w14:paraId="780CCA77" w14:textId="77777777" w:rsidR="00C44BA3" w:rsidRDefault="00C44BA3" w:rsidP="00C44BA3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1134"/>
        <w:gridCol w:w="1276"/>
        <w:gridCol w:w="1134"/>
        <w:gridCol w:w="992"/>
      </w:tblGrid>
      <w:tr w:rsidR="00DB739A" w:rsidRPr="00DB739A" w14:paraId="549888F4" w14:textId="77777777" w:rsidTr="00FC2E53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9A7A2E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Item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E38B6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Category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27D94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Sub-category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859FA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Identifier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0A309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Sales Data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B7A97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Cost data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AE965" w14:textId="77777777" w:rsidR="00DB739A" w:rsidRPr="00DB739A" w:rsidRDefault="00DB739A" w:rsidP="00DB739A">
            <w:pPr>
              <w:spacing w:before="120" w:after="120"/>
              <w:rPr>
                <w:b/>
                <w:sz w:val="20"/>
                <w:szCs w:val="24"/>
              </w:rPr>
            </w:pPr>
            <w:r w:rsidRPr="00DB739A">
              <w:rPr>
                <w:b/>
                <w:sz w:val="20"/>
                <w:szCs w:val="24"/>
              </w:rPr>
              <w:t>Key category</w:t>
            </w:r>
          </w:p>
        </w:tc>
      </w:tr>
      <w:tr w:rsidR="00DB739A" w:rsidRPr="00DB739A" w14:paraId="1BFAF02D" w14:textId="77777777" w:rsidTr="00FC2E53">
        <w:trPr>
          <w:trHeight w:val="37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CADA7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32D1C84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Prime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4ABE0D4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Prime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0DCD59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2FA107D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E576C1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Optional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AD9AE2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Yes</w:t>
            </w:r>
          </w:p>
        </w:tc>
      </w:tr>
      <w:tr w:rsidR="00DB739A" w:rsidRPr="00DB739A" w14:paraId="6F1E9F89" w14:textId="77777777" w:rsidTr="00FC2E53">
        <w:trPr>
          <w:trHeight w:val="313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DCB84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297468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07979B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Non-Prime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F40398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DECB3A9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CB5215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CD540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27EB5E1B" w14:textId="77777777" w:rsidTr="00FC2E53">
        <w:trPr>
          <w:trHeight w:val="389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DB2DA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77416B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Alloys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B97842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Alloyed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B4BB2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67DC1C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17FE8FB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19981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Yes</w:t>
            </w:r>
          </w:p>
        </w:tc>
      </w:tr>
      <w:tr w:rsidR="00DB739A" w:rsidRPr="00DB739A" w14:paraId="14A6F1FE" w14:textId="77777777" w:rsidTr="00FC2E53">
        <w:trPr>
          <w:trHeight w:val="339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85EAF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B92F96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077B2F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Non-alloyed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B186556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B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1F4629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778211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9A331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491479AA" w14:textId="77777777" w:rsidTr="00FC2E53">
        <w:trPr>
          <w:trHeight w:val="433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9E61D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E1C09E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Form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4B602B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Perforated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923D94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6514B9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7CD4D7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22EE16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Yes</w:t>
            </w:r>
          </w:p>
        </w:tc>
      </w:tr>
      <w:tr w:rsidR="00DB739A" w:rsidRPr="00DB739A" w14:paraId="5A102993" w14:textId="77777777" w:rsidTr="00FC2E53">
        <w:trPr>
          <w:trHeight w:val="433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318C4706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6D8D89F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</w:tcPr>
          <w:p w14:paraId="69F2D24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Ribbed</w:t>
            </w:r>
          </w:p>
        </w:tc>
        <w:tc>
          <w:tcPr>
            <w:tcW w:w="1134" w:type="dxa"/>
          </w:tcPr>
          <w:p w14:paraId="237A9A5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RB</w:t>
            </w:r>
          </w:p>
        </w:tc>
        <w:tc>
          <w:tcPr>
            <w:tcW w:w="1276" w:type="dxa"/>
            <w:vMerge/>
          </w:tcPr>
          <w:p w14:paraId="317F77D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0226099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84BABF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02F9A75C" w14:textId="77777777" w:rsidTr="00FC2E53">
        <w:trPr>
          <w:trHeight w:val="433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3917C1E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5F75F5A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</w:tcPr>
          <w:p w14:paraId="4B5F1AB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Perforated and ribbed</w:t>
            </w:r>
          </w:p>
        </w:tc>
        <w:tc>
          <w:tcPr>
            <w:tcW w:w="1134" w:type="dxa"/>
          </w:tcPr>
          <w:p w14:paraId="1A906D5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PR</w:t>
            </w:r>
          </w:p>
        </w:tc>
        <w:tc>
          <w:tcPr>
            <w:tcW w:w="1276" w:type="dxa"/>
            <w:vMerge/>
          </w:tcPr>
          <w:p w14:paraId="31BE94EB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7763C2B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9314A3B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6914E1F2" w14:textId="77777777" w:rsidTr="00FC2E53">
        <w:trPr>
          <w:trHeight w:val="433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6137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74B78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EB1D94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Not perforated or ribbed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7EAA40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NT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FA3BC5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77C617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B3FD9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4A5230B6" w14:textId="77777777" w:rsidTr="00FC2E53">
        <w:trPr>
          <w:trHeight w:val="433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2CFB6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5B6376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Equal or unequal angle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A7823B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Equal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DFFE1C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EQ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C855A26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2E028E4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Optional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C8D787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</w:t>
            </w:r>
          </w:p>
        </w:tc>
      </w:tr>
      <w:tr w:rsidR="00DB739A" w:rsidRPr="00DB739A" w14:paraId="4788E3D0" w14:textId="77777777" w:rsidTr="00FC2E53">
        <w:trPr>
          <w:trHeight w:val="2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238FA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54AFC3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8B9CDA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Non-equal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B14329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NE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0E50B3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DED1B32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39268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13199735" w14:textId="77777777" w:rsidTr="00FC2E53">
        <w:trPr>
          <w:trHeight w:val="936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986E5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7CCE56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 xml:space="preserve">Nominal dimension </w:t>
            </w:r>
            <w:r w:rsidRPr="00DB739A">
              <w:rPr>
                <w:sz w:val="20"/>
                <w:szCs w:val="24"/>
              </w:rPr>
              <w:br/>
              <w:t>(in mm)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2A89814D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The dimension of the longest leg of the angle is greater than 75 and less than or equal to 100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8323B7D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D1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3A21266B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4CBA20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Optional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13A12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</w:t>
            </w:r>
          </w:p>
        </w:tc>
      </w:tr>
      <w:tr w:rsidR="00DB739A" w:rsidRPr="00DB739A" w14:paraId="4FAB6248" w14:textId="77777777" w:rsidTr="00FC2E53">
        <w:trPr>
          <w:trHeight w:val="255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7CA7769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0D53E8F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71CFBD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The dimension of the longest leg of the angle is greater than 100 and less than or equal to 150</w:t>
            </w:r>
          </w:p>
        </w:tc>
        <w:tc>
          <w:tcPr>
            <w:tcW w:w="1134" w:type="dxa"/>
          </w:tcPr>
          <w:p w14:paraId="5DF60BB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D2</w:t>
            </w:r>
          </w:p>
        </w:tc>
        <w:tc>
          <w:tcPr>
            <w:tcW w:w="1276" w:type="dxa"/>
            <w:vMerge/>
          </w:tcPr>
          <w:p w14:paraId="432D716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4164868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889205D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376D7CD8" w14:textId="77777777" w:rsidTr="00FC2E53">
        <w:trPr>
          <w:trHeight w:val="19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E63D7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D1123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14:paraId="1AB497E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The dimension of the longest leg of the angle is greater than 150 and less than or equal to 250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D355809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D3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27F0B3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EDD19E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338DC7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4460E675" w14:textId="77777777" w:rsidTr="00FC2E53">
        <w:trPr>
          <w:trHeight w:val="22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5B413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DE298A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Length</w:t>
            </w:r>
            <w:r w:rsidRPr="00DB739A">
              <w:rPr>
                <w:sz w:val="20"/>
                <w:szCs w:val="24"/>
              </w:rPr>
              <w:br/>
              <w:t>(in mm)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90804A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The length of the angle is greater than or equal to 800 and less than or equal to 2,500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3A86D4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L1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F748C5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537C54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Optional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79759E8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</w:t>
            </w:r>
          </w:p>
        </w:tc>
      </w:tr>
      <w:tr w:rsidR="00DB739A" w:rsidRPr="00DB739A" w14:paraId="5BDF88FA" w14:textId="77777777" w:rsidTr="00FC2E53">
        <w:trPr>
          <w:trHeight w:val="22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75F3C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C166BB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32E40F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 xml:space="preserve">The length of the angle is greater than 2,500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07E16A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L2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037A184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3C1C3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1467D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  <w:tr w:rsidR="00DB739A" w:rsidRPr="00DB739A" w14:paraId="5CC99EAB" w14:textId="77777777" w:rsidTr="00FC2E53">
        <w:trPr>
          <w:trHeight w:val="329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96C6A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5084E3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Thickness</w:t>
            </w:r>
            <w:r w:rsidRPr="00DB739A">
              <w:rPr>
                <w:sz w:val="20"/>
                <w:szCs w:val="24"/>
              </w:rPr>
              <w:br/>
              <w:t>(in mm)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6406A81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 xml:space="preserve">Thickness greater than 3.2 and less than or equal to 6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E6C74D1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1CA61AC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Mandatory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C11E51D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Optional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8F7D60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No</w:t>
            </w:r>
          </w:p>
        </w:tc>
      </w:tr>
      <w:tr w:rsidR="00DB739A" w:rsidRPr="00DB739A" w14:paraId="40310385" w14:textId="77777777" w:rsidTr="00FC2E53">
        <w:trPr>
          <w:trHeight w:val="329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D8FB4F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82DE2D6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14:paraId="2363FD1E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Thickness is greater than 6 and less than or equal to 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DF2256A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  <w:r w:rsidRPr="00DB739A">
              <w:rPr>
                <w:sz w:val="20"/>
                <w:szCs w:val="24"/>
              </w:rPr>
              <w:t>T2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D923237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C9D5899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5CBFA5" w14:textId="77777777" w:rsidR="00DB739A" w:rsidRPr="00DB739A" w:rsidRDefault="00DB739A" w:rsidP="00DB739A">
            <w:pPr>
              <w:spacing w:before="120" w:after="120"/>
              <w:rPr>
                <w:sz w:val="20"/>
                <w:szCs w:val="24"/>
              </w:rPr>
            </w:pPr>
          </w:p>
        </w:tc>
      </w:tr>
    </w:tbl>
    <w:p w14:paraId="3360D258" w14:textId="77777777" w:rsidR="00DB739A" w:rsidRPr="00DB739A" w:rsidRDefault="00DB739A" w:rsidP="00DB739A">
      <w:pPr>
        <w:tabs>
          <w:tab w:val="center" w:pos="4153"/>
          <w:tab w:val="right" w:pos="8306"/>
        </w:tabs>
        <w:rPr>
          <w:rFonts w:ascii="Arial" w:hAnsi="Arial"/>
          <w:szCs w:val="24"/>
        </w:rPr>
      </w:pPr>
    </w:p>
    <w:p w14:paraId="4E4DB19C" w14:textId="77777777" w:rsidR="00C44BA3" w:rsidRDefault="00C44BA3" w:rsidP="006A76C5">
      <w:pPr>
        <w:outlineLvl w:val="0"/>
        <w:rPr>
          <w:rFonts w:ascii="Arial" w:hAnsi="Arial" w:cs="Arial"/>
          <w:b/>
          <w:bCs/>
          <w:sz w:val="22"/>
        </w:rPr>
      </w:pPr>
    </w:p>
    <w:p w14:paraId="15A386D7" w14:textId="77777777" w:rsidR="00C44BA3" w:rsidRDefault="00C44BA3" w:rsidP="006A76C5">
      <w:pPr>
        <w:outlineLvl w:val="0"/>
        <w:rPr>
          <w:rFonts w:ascii="Arial" w:hAnsi="Arial" w:cs="Arial"/>
          <w:b/>
          <w:bCs/>
          <w:sz w:val="22"/>
        </w:rPr>
      </w:pPr>
    </w:p>
    <w:p w14:paraId="2ABDBD2E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C0F5D0F" w14:textId="77777777" w:rsidR="006A76C5" w:rsidRPr="00D5003E" w:rsidRDefault="006A76C5" w:rsidP="006A76C5">
      <w:pPr>
        <w:jc w:val="both"/>
        <w:rPr>
          <w:rFonts w:ascii="Arial" w:hAnsi="Arial" w:cs="Arial"/>
          <w:sz w:val="22"/>
        </w:rPr>
      </w:pPr>
    </w:p>
    <w:p w14:paraId="22110AE4" w14:textId="52E588FE" w:rsidR="006A76C5" w:rsidRDefault="006A76C5" w:rsidP="00671436">
      <w:pPr>
        <w:rPr>
          <w:rFonts w:cs="Arial"/>
        </w:rPr>
      </w:pPr>
      <w:r w:rsidRPr="00D5003E">
        <w:rPr>
          <w:rFonts w:ascii="Arial" w:hAnsi="Arial" w:cs="Arial"/>
          <w:sz w:val="22"/>
        </w:rPr>
        <w:t xml:space="preserve">Please calculate </w:t>
      </w:r>
      <w:r w:rsidR="008C1015" w:rsidRPr="00D5003E">
        <w:rPr>
          <w:rFonts w:ascii="Arial" w:hAnsi="Arial" w:cs="Arial"/>
          <w:sz w:val="22"/>
        </w:rPr>
        <w:t>your</w:t>
      </w:r>
      <w:r w:rsidRPr="00D5003E">
        <w:rPr>
          <w:rFonts w:ascii="Arial" w:hAnsi="Arial" w:cs="Arial"/>
          <w:sz w:val="22"/>
        </w:rPr>
        <w:t xml:space="preserve"> selling, general and administration costs for </w:t>
      </w:r>
      <w:r w:rsidR="00C44BA3">
        <w:rPr>
          <w:rFonts w:ascii="Arial" w:hAnsi="Arial" w:cs="Arial"/>
          <w:sz w:val="22"/>
        </w:rPr>
        <w:t xml:space="preserve">hot dip galvanised steel </w:t>
      </w:r>
      <w:r w:rsidR="00671436" w:rsidRPr="00671436">
        <w:rPr>
          <w:rFonts w:ascii="Arial" w:hAnsi="Arial" w:cs="Arial"/>
          <w:sz w:val="22"/>
        </w:rPr>
        <w:t>angle</w:t>
      </w:r>
      <w:r w:rsidRPr="00D5003E">
        <w:rPr>
          <w:rFonts w:ascii="Arial" w:hAnsi="Arial" w:cs="Arial"/>
          <w:sz w:val="22"/>
        </w:rPr>
        <w:t xml:space="preserve"> 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  <w:r w:rsidR="00E31EBF" w:rsidRPr="00665B46">
        <w:rPr>
          <w:rFonts w:ascii="Arial" w:hAnsi="Arial" w:cs="Arial"/>
          <w:b/>
          <w:sz w:val="22"/>
        </w:rPr>
        <w:t xml:space="preserve">1 </w:t>
      </w:r>
      <w:r w:rsidR="005529C2" w:rsidRPr="00665B46">
        <w:rPr>
          <w:rFonts w:ascii="Arial" w:hAnsi="Arial" w:cs="Arial"/>
          <w:b/>
          <w:sz w:val="22"/>
        </w:rPr>
        <w:t>January 2018 to 31</w:t>
      </w:r>
      <w:r w:rsidR="00E31EBF" w:rsidRPr="00665B46">
        <w:rPr>
          <w:rFonts w:ascii="Arial" w:hAnsi="Arial" w:cs="Arial"/>
          <w:b/>
          <w:sz w:val="22"/>
        </w:rPr>
        <w:t xml:space="preserve"> </w:t>
      </w:r>
      <w:r w:rsidR="005529C2" w:rsidRPr="00665B46">
        <w:rPr>
          <w:rFonts w:ascii="Arial" w:hAnsi="Arial" w:cs="Arial"/>
          <w:b/>
          <w:sz w:val="22"/>
        </w:rPr>
        <w:t>December</w:t>
      </w:r>
      <w:r w:rsidR="00E31EBF" w:rsidRPr="00665B46">
        <w:rPr>
          <w:rFonts w:ascii="Arial" w:hAnsi="Arial" w:cs="Arial"/>
          <w:b/>
          <w:sz w:val="22"/>
        </w:rPr>
        <w:t xml:space="preserve"> 2018</w:t>
      </w:r>
      <w:r w:rsidR="00E31EBF" w:rsidRPr="00665B46">
        <w:rPr>
          <w:rFonts w:ascii="Arial" w:hAnsi="Arial" w:cs="Arial"/>
          <w:sz w:val="22"/>
        </w:rPr>
        <w:t xml:space="preserve"> </w:t>
      </w:r>
      <w:r w:rsidRPr="00665B46">
        <w:rPr>
          <w:rFonts w:ascii="Arial" w:hAnsi="Arial" w:cs="Arial"/>
          <w:sz w:val="22"/>
        </w:rPr>
        <w:t xml:space="preserve">and enter </w:t>
      </w:r>
      <w:r w:rsidR="00924D03" w:rsidRPr="00665B46">
        <w:rPr>
          <w:rFonts w:ascii="Arial" w:hAnsi="Arial" w:cs="Arial"/>
          <w:sz w:val="22"/>
        </w:rPr>
        <w:t xml:space="preserve">this information </w:t>
      </w:r>
      <w:r w:rsidRPr="00665B46">
        <w:rPr>
          <w:rFonts w:ascii="Arial" w:hAnsi="Arial" w:cs="Arial"/>
          <w:sz w:val="22"/>
        </w:rPr>
        <w:t xml:space="preserve">into the </w:t>
      </w:r>
      <w:r w:rsidR="008C1015" w:rsidRPr="00665B46">
        <w:rPr>
          <w:rFonts w:ascii="Arial" w:hAnsi="Arial" w:cs="Arial"/>
          <w:sz w:val="22"/>
        </w:rPr>
        <w:t>“Part B – Cost to import and sell” spreadsheet included in the “</w:t>
      </w:r>
      <w:r w:rsidR="00C44BA3">
        <w:rPr>
          <w:rFonts w:ascii="Arial" w:hAnsi="Arial" w:cs="Arial"/>
          <w:sz w:val="22"/>
        </w:rPr>
        <w:t>Hot dip galvanised steel</w:t>
      </w:r>
      <w:r w:rsidR="00671436" w:rsidRPr="00665B46">
        <w:rPr>
          <w:rFonts w:ascii="Arial" w:hAnsi="Arial" w:cs="Arial"/>
          <w:sz w:val="22"/>
        </w:rPr>
        <w:t xml:space="preserve"> angle</w:t>
      </w:r>
      <w:r w:rsidR="008C1015" w:rsidRPr="00665B46">
        <w:rPr>
          <w:rFonts w:ascii="Arial" w:hAnsi="Arial" w:cs="Arial"/>
          <w:sz w:val="22"/>
        </w:rPr>
        <w:t xml:space="preserve"> Importer Questionnaire Spreadshee</w:t>
      </w:r>
      <w:r w:rsidR="00BC2AAF" w:rsidRPr="00665B46">
        <w:rPr>
          <w:rFonts w:ascii="Arial" w:hAnsi="Arial" w:cs="Arial"/>
          <w:sz w:val="22"/>
        </w:rPr>
        <w:t>ts” workbook in this</w:t>
      </w:r>
      <w:r w:rsidR="008C1015" w:rsidRPr="00665B46">
        <w:rPr>
          <w:rFonts w:ascii="Arial" w:hAnsi="Arial" w:cs="Arial"/>
          <w:sz w:val="22"/>
        </w:rPr>
        <w:t xml:space="preserve"> package.</w:t>
      </w:r>
    </w:p>
    <w:p w14:paraId="02DB8CF9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BBBCC27" w14:textId="1033A578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Pr="00D5003E">
        <w:rPr>
          <w:rFonts w:ascii="Arial" w:hAnsi="Arial" w:cs="Arial"/>
          <w:sz w:val="22"/>
        </w:rPr>
        <w:t xml:space="preserve"> </w:t>
      </w:r>
      <w:r w:rsidR="00C44BA3">
        <w:rPr>
          <w:rFonts w:ascii="Arial" w:hAnsi="Arial" w:cs="Arial"/>
          <w:sz w:val="22"/>
        </w:rPr>
        <w:t>hot dip galvanised steel</w:t>
      </w:r>
      <w:r w:rsidR="00671436" w:rsidRPr="00671436">
        <w:rPr>
          <w:rFonts w:ascii="Arial" w:hAnsi="Arial" w:cs="Arial"/>
          <w:sz w:val="22"/>
        </w:rPr>
        <w:t xml:space="preserve"> angle</w:t>
      </w:r>
      <w:r w:rsidRPr="00D500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  <w:r w:rsidR="00671436">
        <w:rPr>
          <w:rFonts w:ascii="Arial" w:hAnsi="Arial" w:cs="Arial"/>
          <w:sz w:val="22"/>
        </w:rPr>
        <w:t xml:space="preserve"> </w:t>
      </w:r>
    </w:p>
    <w:p w14:paraId="2E93C7A4" w14:textId="77777777" w:rsidR="00F02047" w:rsidRDefault="00F02047" w:rsidP="008C1015">
      <w:pPr>
        <w:pStyle w:val="BodyText2"/>
        <w:rPr>
          <w:rFonts w:cs="Arial"/>
        </w:rPr>
      </w:pPr>
    </w:p>
    <w:p w14:paraId="765EB664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00DD592C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46B28B55" w14:textId="31D455C9" w:rsidR="007103C6" w:rsidRPr="002B09AF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2B09AF">
        <w:rPr>
          <w:rFonts w:cs="Arial"/>
        </w:rPr>
        <w:t>Return by</w:t>
      </w:r>
      <w:r w:rsidR="00660E25" w:rsidRPr="002B09AF">
        <w:rPr>
          <w:rFonts w:cs="Arial"/>
        </w:rPr>
        <w:t xml:space="preserve"> </w:t>
      </w:r>
      <w:r w:rsidR="00DB739A">
        <w:rPr>
          <w:rFonts w:cs="Arial"/>
          <w:b/>
          <w:highlight w:val="yellow"/>
        </w:rPr>
        <w:t>28 June</w:t>
      </w:r>
      <w:r w:rsidR="00660E25" w:rsidRPr="00BD718F">
        <w:rPr>
          <w:rFonts w:cs="Arial"/>
          <w:b/>
          <w:highlight w:val="yellow"/>
        </w:rPr>
        <w:t xml:space="preserve"> 201</w:t>
      </w:r>
      <w:r w:rsidR="005529C2" w:rsidRPr="00BD718F">
        <w:rPr>
          <w:rFonts w:cs="Arial"/>
          <w:b/>
          <w:highlight w:val="yellow"/>
        </w:rPr>
        <w:t>9</w:t>
      </w:r>
    </w:p>
    <w:p w14:paraId="4A980503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5050DD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DF000E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B8102C9" w14:textId="7D16FFA1" w:rsidR="00263979" w:rsidRDefault="007103C6" w:rsidP="0075373C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5CED64C" w14:textId="2434CB15" w:rsidR="005A62FB" w:rsidRPr="002B09AF" w:rsidRDefault="005A62FB" w:rsidP="005A62FB">
      <w:pPr>
        <w:pStyle w:val="BodyText2"/>
        <w:numPr>
          <w:ilvl w:val="0"/>
          <w:numId w:val="11"/>
        </w:numPr>
        <w:rPr>
          <w:rFonts w:cs="Arial"/>
        </w:rPr>
      </w:pPr>
      <w:r w:rsidRPr="002B09AF">
        <w:rPr>
          <w:rFonts w:cs="Arial"/>
        </w:rPr>
        <w:t xml:space="preserve">Return </w:t>
      </w:r>
      <w:r w:rsidR="00AC4FEB" w:rsidRPr="002B09AF">
        <w:rPr>
          <w:rFonts w:cs="Arial"/>
        </w:rPr>
        <w:t xml:space="preserve">by </w:t>
      </w:r>
      <w:r w:rsidR="00DB739A">
        <w:rPr>
          <w:rFonts w:cs="Arial"/>
          <w:b/>
          <w:highlight w:val="yellow"/>
        </w:rPr>
        <w:t>5</w:t>
      </w:r>
      <w:r w:rsidR="00153BF8">
        <w:rPr>
          <w:rFonts w:cs="Arial"/>
          <w:b/>
          <w:highlight w:val="yellow"/>
        </w:rPr>
        <w:t xml:space="preserve"> </w:t>
      </w:r>
      <w:r w:rsidR="00C44BA3" w:rsidRPr="00BD718F">
        <w:rPr>
          <w:rFonts w:cs="Arial"/>
          <w:b/>
          <w:highlight w:val="yellow"/>
        </w:rPr>
        <w:t>July</w:t>
      </w:r>
      <w:r w:rsidR="00E31EBF" w:rsidRPr="00BD718F">
        <w:rPr>
          <w:rFonts w:cs="Arial"/>
          <w:b/>
          <w:highlight w:val="yellow"/>
        </w:rPr>
        <w:t xml:space="preserve"> </w:t>
      </w:r>
      <w:r w:rsidRPr="00BD718F">
        <w:rPr>
          <w:rFonts w:cs="Arial"/>
          <w:b/>
          <w:highlight w:val="yellow"/>
        </w:rPr>
        <w:t>201</w:t>
      </w:r>
      <w:r w:rsidR="005529C2" w:rsidRPr="00BD718F">
        <w:rPr>
          <w:rFonts w:cs="Arial"/>
          <w:b/>
          <w:highlight w:val="yellow"/>
        </w:rPr>
        <w:t>9</w:t>
      </w:r>
    </w:p>
    <w:p w14:paraId="3CBB65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C3D5F6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982153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E7593C2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B26812" w14:textId="77777777" w:rsidR="007103C6" w:rsidRPr="00B02971" w:rsidRDefault="007103C6" w:rsidP="00660E25">
      <w:pPr>
        <w:pStyle w:val="BodyText2"/>
        <w:numPr>
          <w:ilvl w:val="1"/>
          <w:numId w:val="8"/>
        </w:numPr>
        <w:tabs>
          <w:tab w:val="left" w:pos="1440"/>
        </w:tabs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4F58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0FA5830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F15E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718F40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35703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C3122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F59B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06D3F8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A2AEDF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BF8FBD9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BAA6" w14:textId="77777777" w:rsidR="0085446C" w:rsidRDefault="0085446C">
      <w:r>
        <w:separator/>
      </w:r>
    </w:p>
  </w:endnote>
  <w:endnote w:type="continuationSeparator" w:id="0">
    <w:p w14:paraId="1E2EF2E8" w14:textId="77777777" w:rsidR="0085446C" w:rsidRDefault="0085446C">
      <w:r>
        <w:continuationSeparator/>
      </w:r>
    </w:p>
  </w:endnote>
  <w:endnote w:type="continuationNotice" w:id="1">
    <w:p w14:paraId="08CB6F9B" w14:textId="77777777" w:rsidR="00A67E75" w:rsidRDefault="00A6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2886" w14:textId="77777777" w:rsidR="0085446C" w:rsidRPr="00965993" w:rsidRDefault="0085446C" w:rsidP="00965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FE2D" w14:textId="77777777" w:rsidR="0085446C" w:rsidRDefault="0085446C">
      <w:r>
        <w:separator/>
      </w:r>
    </w:p>
  </w:footnote>
  <w:footnote w:type="continuationSeparator" w:id="0">
    <w:p w14:paraId="2B583C6C" w14:textId="77777777" w:rsidR="0085446C" w:rsidRDefault="0085446C">
      <w:r>
        <w:continuationSeparator/>
      </w:r>
    </w:p>
  </w:footnote>
  <w:footnote w:type="continuationNotice" w:id="1">
    <w:p w14:paraId="7D5FBCD5" w14:textId="77777777" w:rsidR="00A67E75" w:rsidRDefault="00A67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0540" w14:textId="77777777" w:rsidR="0085446C" w:rsidRDefault="0085446C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D663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811790B" w14:textId="77777777" w:rsidR="0085446C" w:rsidRDefault="0085446C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BF91916" wp14:editId="0E44219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761D" w14:textId="77777777" w:rsidR="0085446C" w:rsidRPr="00AF735F" w:rsidRDefault="0085446C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91AA2" wp14:editId="4C0F99F5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95D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4F0A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CBB073A" w14:textId="77777777" w:rsidR="0085446C" w:rsidRDefault="0085446C" w:rsidP="00AF735F">
    <w:pPr>
      <w:pStyle w:val="Header"/>
      <w:rPr>
        <w:rFonts w:ascii="Arial" w:hAnsi="Arial" w:cs="Arial"/>
        <w:b/>
      </w:rPr>
    </w:pPr>
  </w:p>
  <w:p w14:paraId="6E1118AE" w14:textId="77777777" w:rsidR="0085446C" w:rsidRPr="00AF735F" w:rsidRDefault="0085446C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6F7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F"/>
    <w:rsid w:val="000226D1"/>
    <w:rsid w:val="0006039C"/>
    <w:rsid w:val="000B47FC"/>
    <w:rsid w:val="000D4093"/>
    <w:rsid w:val="000F6441"/>
    <w:rsid w:val="001022B3"/>
    <w:rsid w:val="0014303F"/>
    <w:rsid w:val="00145F33"/>
    <w:rsid w:val="00153BF8"/>
    <w:rsid w:val="001662DF"/>
    <w:rsid w:val="001909F1"/>
    <w:rsid w:val="00196017"/>
    <w:rsid w:val="001D791F"/>
    <w:rsid w:val="002119AF"/>
    <w:rsid w:val="002540F2"/>
    <w:rsid w:val="00263979"/>
    <w:rsid w:val="00281D5E"/>
    <w:rsid w:val="00282A55"/>
    <w:rsid w:val="00283B91"/>
    <w:rsid w:val="002916EC"/>
    <w:rsid w:val="002A6CF4"/>
    <w:rsid w:val="002B09AF"/>
    <w:rsid w:val="002B3DF2"/>
    <w:rsid w:val="002B4622"/>
    <w:rsid w:val="002E0904"/>
    <w:rsid w:val="002E46C1"/>
    <w:rsid w:val="002E547B"/>
    <w:rsid w:val="002E6EB6"/>
    <w:rsid w:val="00303A17"/>
    <w:rsid w:val="00312402"/>
    <w:rsid w:val="00323348"/>
    <w:rsid w:val="003323A4"/>
    <w:rsid w:val="00346BFE"/>
    <w:rsid w:val="003A7117"/>
    <w:rsid w:val="003B6447"/>
    <w:rsid w:val="003E44D2"/>
    <w:rsid w:val="0040120D"/>
    <w:rsid w:val="0041439D"/>
    <w:rsid w:val="004302D7"/>
    <w:rsid w:val="004330DC"/>
    <w:rsid w:val="0048221E"/>
    <w:rsid w:val="00495E17"/>
    <w:rsid w:val="004B28D3"/>
    <w:rsid w:val="004B7673"/>
    <w:rsid w:val="004C1655"/>
    <w:rsid w:val="004F3822"/>
    <w:rsid w:val="00501ECF"/>
    <w:rsid w:val="00516BA4"/>
    <w:rsid w:val="005527C3"/>
    <w:rsid w:val="005529C2"/>
    <w:rsid w:val="005A4147"/>
    <w:rsid w:val="005A62FB"/>
    <w:rsid w:val="005E494C"/>
    <w:rsid w:val="005F1C92"/>
    <w:rsid w:val="00612CA1"/>
    <w:rsid w:val="00612D67"/>
    <w:rsid w:val="00627617"/>
    <w:rsid w:val="00641196"/>
    <w:rsid w:val="006508CA"/>
    <w:rsid w:val="00651808"/>
    <w:rsid w:val="00660654"/>
    <w:rsid w:val="00660E25"/>
    <w:rsid w:val="00665B46"/>
    <w:rsid w:val="00671436"/>
    <w:rsid w:val="006A76C5"/>
    <w:rsid w:val="006B43A5"/>
    <w:rsid w:val="006B54E9"/>
    <w:rsid w:val="007103C6"/>
    <w:rsid w:val="00711AF7"/>
    <w:rsid w:val="0075373C"/>
    <w:rsid w:val="00756E0A"/>
    <w:rsid w:val="0076236F"/>
    <w:rsid w:val="00770AF7"/>
    <w:rsid w:val="007822BC"/>
    <w:rsid w:val="007C54AB"/>
    <w:rsid w:val="00802C97"/>
    <w:rsid w:val="00810695"/>
    <w:rsid w:val="00812EA6"/>
    <w:rsid w:val="00833D82"/>
    <w:rsid w:val="008348DA"/>
    <w:rsid w:val="0085446C"/>
    <w:rsid w:val="008722CC"/>
    <w:rsid w:val="008C1015"/>
    <w:rsid w:val="008E7817"/>
    <w:rsid w:val="00907BBB"/>
    <w:rsid w:val="0092234C"/>
    <w:rsid w:val="00924D03"/>
    <w:rsid w:val="00965993"/>
    <w:rsid w:val="00975C70"/>
    <w:rsid w:val="0098356B"/>
    <w:rsid w:val="009A490B"/>
    <w:rsid w:val="009D00A1"/>
    <w:rsid w:val="009D72DA"/>
    <w:rsid w:val="009F5D8E"/>
    <w:rsid w:val="00A172B7"/>
    <w:rsid w:val="00A30A48"/>
    <w:rsid w:val="00A67E75"/>
    <w:rsid w:val="00A70EF1"/>
    <w:rsid w:val="00A8210B"/>
    <w:rsid w:val="00AA2AAE"/>
    <w:rsid w:val="00AB3010"/>
    <w:rsid w:val="00AB31AE"/>
    <w:rsid w:val="00AC4FEB"/>
    <w:rsid w:val="00AF735F"/>
    <w:rsid w:val="00B23AD4"/>
    <w:rsid w:val="00B249FC"/>
    <w:rsid w:val="00B33419"/>
    <w:rsid w:val="00B3481A"/>
    <w:rsid w:val="00B743F3"/>
    <w:rsid w:val="00B90535"/>
    <w:rsid w:val="00BA3EA1"/>
    <w:rsid w:val="00BB4054"/>
    <w:rsid w:val="00BC2AAF"/>
    <w:rsid w:val="00BD0EF1"/>
    <w:rsid w:val="00BD718F"/>
    <w:rsid w:val="00C054DB"/>
    <w:rsid w:val="00C12126"/>
    <w:rsid w:val="00C278EB"/>
    <w:rsid w:val="00C42442"/>
    <w:rsid w:val="00C44BA3"/>
    <w:rsid w:val="00C73BBD"/>
    <w:rsid w:val="00C802E7"/>
    <w:rsid w:val="00CB4DCB"/>
    <w:rsid w:val="00CC637A"/>
    <w:rsid w:val="00D14B29"/>
    <w:rsid w:val="00D24D67"/>
    <w:rsid w:val="00D5003E"/>
    <w:rsid w:val="00D621AC"/>
    <w:rsid w:val="00D70A70"/>
    <w:rsid w:val="00D822EC"/>
    <w:rsid w:val="00DB739A"/>
    <w:rsid w:val="00DD6ABF"/>
    <w:rsid w:val="00E17CBF"/>
    <w:rsid w:val="00E31EBF"/>
    <w:rsid w:val="00E912B3"/>
    <w:rsid w:val="00E94327"/>
    <w:rsid w:val="00EA7141"/>
    <w:rsid w:val="00EE5214"/>
    <w:rsid w:val="00F02047"/>
    <w:rsid w:val="00F20655"/>
    <w:rsid w:val="00F31B37"/>
    <w:rsid w:val="00FC4EB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6A1E2FF"/>
  <w15:docId w15:val="{6C6A06BB-8878-4076-B3F0-2F99E9E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A821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10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EE5214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39"/>
    <w:rsid w:val="0014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2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BC42C64642E4882346DE2350E9A7A" ma:contentTypeVersion="61" ma:contentTypeDescription="Create a new document." ma:contentTypeScope="" ma:versionID="28e03b6227939746fb732c9b33187a6c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fa7236a63ffeb446d23a53ac7608bbfd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Hot Dip Galvanised Steel Angle</TermName>
          <TermId xmlns="http://schemas.microsoft.com/office/infopath/2007/PartnerControls">19792f8d-dfbf-4c01-b6df-1bc979594e4d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IconOverlay xmlns="http://schemas.microsoft.com/sharepoint/v4" xsi:nil="true"/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516</DocHub_CaseNumber>
    <TaxCatchAll xmlns="5d55e9dd-4cea-4593-8805-904a126b9efb">
      <Value>50</Value>
      <Value>2951</Value>
      <Value>53</Value>
      <Value>190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X37KMNPMRHAR-1381743848-7237</_dlc_DocId>
    <_dlc_DocIdUrl xmlns="5d55e9dd-4cea-4593-8805-904a126b9efb">
      <Url>https://dochub/div/antidumpingcommission/businessfunctions/operations/steelproducts/investigations/_layouts/15/DocIdRedir.aspx?ID=X37KMNPMRHAR-1381743848-7237</Url>
      <Description>X37KMNPMRHAR-1381743848-7237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3FA3-05FD-491E-BB71-4F6136C277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0F041D-E04C-4657-9D7B-67A226991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3E82A-336A-408D-BD65-5CE952E65BA5}">
  <ds:schemaRefs>
    <ds:schemaRef ds:uri="http://schemas.microsoft.com/office/2006/documentManagement/types"/>
    <ds:schemaRef ds:uri="5d55e9dd-4cea-4593-8805-904a126b9ef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Sheath, Phillip</dc:creator>
  <cp:lastModifiedBy>D'Souza, Sangeeta</cp:lastModifiedBy>
  <cp:revision>11</cp:revision>
  <cp:lastPrinted>2004-01-29T06:40:00Z</cp:lastPrinted>
  <dcterms:created xsi:type="dcterms:W3CDTF">2019-06-13T06:49:00Z</dcterms:created>
  <dcterms:modified xsi:type="dcterms:W3CDTF">2019-06-24T02:49:00Z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0x0101000FDBC42C64642E4882346DE2350E9A7A</vt:lpwstr>
  </property>
  <property fmtid="{D5CDD505-2E9C-101B-9397-08002B2CF9AE}" pid="7" name="_dlc_DocIdItemGuid">
    <vt:lpwstr>03613a1c-b275-4556-945b-0ac424865884</vt:lpwstr>
  </property>
  <property fmtid="{D5CDD505-2E9C-101B-9397-08002B2CF9AE}" pid="8" name="DocHub_Year">
    <vt:lpwstr>190;#2019|7e451fe0-4dc6-437a-a849-bab7965a9aee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DocHub_Goods">
    <vt:lpwstr>2951;#Hot Dip Galvanised Steel Angle|19792f8d-dfbf-4c01-b6df-1bc979594e4d</vt:lpwstr>
  </property>
  <property fmtid="{D5CDD505-2E9C-101B-9397-08002B2CF9AE}" pid="21" name="DocHub_Country">
    <vt:lpwstr/>
  </property>
  <property fmtid="{D5CDD505-2E9C-101B-9397-08002B2CF9AE}" pid="22" name="DocHub_ReportType">
    <vt:lpwstr/>
  </property>
</Properties>
</file>