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43F8B" w14:textId="77777777" w:rsidR="00B265F7" w:rsidRPr="006471C4" w:rsidRDefault="00B265F7" w:rsidP="00B265F7">
      <w:pPr>
        <w:pStyle w:val="BodyText"/>
        <w:spacing w:before="0" w:after="0"/>
        <w:jc w:val="center"/>
        <w:rPr>
          <w:rFonts w:cs="Arial"/>
          <w:b/>
          <w:bCs/>
          <w:caps/>
          <w:sz w:val="32"/>
          <w:szCs w:val="32"/>
        </w:rPr>
      </w:pPr>
      <w:bookmarkStart w:id="0" w:name="_GoBack"/>
      <w:bookmarkEnd w:id="0"/>
      <w:r w:rsidRPr="006471C4">
        <w:rPr>
          <w:rFonts w:cs="Arial"/>
          <w:b/>
          <w:bCs/>
          <w:caps/>
          <w:sz w:val="32"/>
          <w:szCs w:val="32"/>
        </w:rPr>
        <w:t>response to Application</w:t>
      </w:r>
      <w:r w:rsidR="006278FF">
        <w:rPr>
          <w:rFonts w:cs="Arial"/>
          <w:b/>
          <w:bCs/>
          <w:caps/>
          <w:sz w:val="32"/>
          <w:szCs w:val="32"/>
        </w:rPr>
        <w:t>s</w:t>
      </w:r>
    </w:p>
    <w:p w14:paraId="15C43F8C" w14:textId="77777777" w:rsidR="00B265F7" w:rsidRDefault="00B265F7" w:rsidP="00B265F7">
      <w:pPr>
        <w:pStyle w:val="BodyText"/>
        <w:spacing w:before="0" w:after="0"/>
        <w:jc w:val="center"/>
        <w:rPr>
          <w:rFonts w:cs="Arial"/>
          <w:b/>
          <w:bCs/>
          <w:caps/>
          <w:sz w:val="32"/>
          <w:szCs w:val="32"/>
        </w:rPr>
      </w:pPr>
      <w:r w:rsidRPr="006471C4">
        <w:rPr>
          <w:rFonts w:cs="Arial"/>
          <w:b/>
          <w:bCs/>
          <w:caps/>
          <w:sz w:val="32"/>
          <w:szCs w:val="32"/>
        </w:rPr>
        <w:t>FOR Exemption from duty under the customs tariff (Anti-DUmping) Act 1975</w:t>
      </w:r>
    </w:p>
    <w:p w14:paraId="15C43F8D" w14:textId="1DFE9BFD" w:rsidR="002458EA" w:rsidRPr="007E5D8B" w:rsidRDefault="00B47EC6" w:rsidP="002458EA">
      <w:pPr>
        <w:spacing w:before="240" w:after="240"/>
        <w:jc w:val="center"/>
        <w:rPr>
          <w:rFonts w:ascii="Arial" w:hAnsi="Arial" w:cs="Arial"/>
          <w:b/>
          <w:szCs w:val="22"/>
          <w:lang w:val="en-US"/>
        </w:rPr>
      </w:pPr>
      <w:r>
        <w:rPr>
          <w:rFonts w:ascii="Arial" w:hAnsi="Arial" w:cs="Arial"/>
          <w:b/>
          <w:color w:val="000000" w:themeColor="text1"/>
          <w:szCs w:val="22"/>
          <w:lang w:val="en-US"/>
        </w:rPr>
        <w:t>Exemption inquiry EX00</w:t>
      </w:r>
      <w:r w:rsidR="00A878C1">
        <w:rPr>
          <w:rFonts w:ascii="Arial" w:hAnsi="Arial" w:cs="Arial"/>
          <w:b/>
          <w:color w:val="000000" w:themeColor="text1"/>
          <w:szCs w:val="22"/>
          <w:lang w:val="en-US"/>
        </w:rPr>
        <w:t>5</w:t>
      </w:r>
      <w:r w:rsidR="009666CF">
        <w:rPr>
          <w:rFonts w:ascii="Arial" w:hAnsi="Arial" w:cs="Arial"/>
          <w:b/>
          <w:color w:val="000000" w:themeColor="text1"/>
          <w:szCs w:val="22"/>
          <w:lang w:val="en-US"/>
        </w:rPr>
        <w:t>9</w:t>
      </w:r>
      <w:r w:rsidR="00E1436D">
        <w:rPr>
          <w:rFonts w:ascii="Arial" w:hAnsi="Arial" w:cs="Arial"/>
          <w:b/>
          <w:color w:val="000000" w:themeColor="text1"/>
          <w:szCs w:val="22"/>
          <w:lang w:val="en-US"/>
        </w:rPr>
        <w:t xml:space="preserve"> – r</w:t>
      </w:r>
      <w:r w:rsidR="002458EA" w:rsidRPr="002458EA">
        <w:rPr>
          <w:rFonts w:ascii="Arial" w:hAnsi="Arial" w:cs="Arial"/>
          <w:b/>
          <w:color w:val="000000" w:themeColor="text1"/>
          <w:szCs w:val="22"/>
          <w:lang w:val="en-US"/>
        </w:rPr>
        <w:t xml:space="preserve">esponse requested by </w:t>
      </w:r>
      <w:r w:rsidR="00D47109">
        <w:rPr>
          <w:rFonts w:ascii="Arial" w:hAnsi="Arial" w:cs="Arial"/>
          <w:b/>
          <w:szCs w:val="22"/>
          <w:u w:val="single"/>
          <w:lang w:val="en-US"/>
        </w:rPr>
        <w:t>2</w:t>
      </w:r>
      <w:r w:rsidR="0030117A">
        <w:rPr>
          <w:rFonts w:ascii="Arial" w:hAnsi="Arial" w:cs="Arial"/>
          <w:b/>
          <w:szCs w:val="22"/>
          <w:u w:val="single"/>
          <w:lang w:val="en-US"/>
        </w:rPr>
        <w:t>9</w:t>
      </w:r>
      <w:r w:rsidR="00D47109">
        <w:rPr>
          <w:rFonts w:ascii="Arial" w:hAnsi="Arial" w:cs="Arial"/>
          <w:b/>
          <w:szCs w:val="22"/>
          <w:u w:val="single"/>
          <w:lang w:val="en-US"/>
        </w:rPr>
        <w:t xml:space="preserve"> April</w:t>
      </w:r>
      <w:r w:rsidR="007F0260">
        <w:rPr>
          <w:rFonts w:ascii="Arial" w:hAnsi="Arial" w:cs="Arial"/>
          <w:b/>
          <w:szCs w:val="22"/>
          <w:u w:val="single"/>
          <w:lang w:val="en-US"/>
        </w:rPr>
        <w:t xml:space="preserve"> 2018</w:t>
      </w:r>
    </w:p>
    <w:p w14:paraId="15C43F8E" w14:textId="77777777" w:rsidR="00B265F7" w:rsidRPr="006471C4" w:rsidRDefault="00B265F7" w:rsidP="00B265F7">
      <w:pPr>
        <w:numPr>
          <w:ilvl w:val="0"/>
          <w:numId w:val="6"/>
        </w:numPr>
        <w:rPr>
          <w:rFonts w:ascii="Arial" w:hAnsi="Arial" w:cs="Arial"/>
          <w:b/>
          <w:lang w:val="en-US"/>
        </w:rPr>
      </w:pPr>
      <w:r w:rsidRPr="006471C4">
        <w:rPr>
          <w:rFonts w:ascii="Arial" w:hAnsi="Arial" w:cs="Arial"/>
          <w:b/>
          <w:lang w:val="en-US"/>
        </w:rPr>
        <w:t xml:space="preserve">Introduction </w:t>
      </w:r>
    </w:p>
    <w:p w14:paraId="15C43F8F" w14:textId="2A1B6159" w:rsidR="00B265F7" w:rsidRPr="00DE51A1" w:rsidRDefault="00DE1884" w:rsidP="002E3E03">
      <w:pPr>
        <w:spacing w:before="120" w:after="120"/>
        <w:rPr>
          <w:rFonts w:ascii="Arial" w:hAnsi="Arial" w:cs="Arial"/>
          <w:color w:val="000000" w:themeColor="text1"/>
          <w:sz w:val="22"/>
          <w:szCs w:val="22"/>
          <w:lang w:val="en-US"/>
        </w:rPr>
      </w:pPr>
      <w:r w:rsidRPr="00DE51A1">
        <w:rPr>
          <w:rFonts w:ascii="Arial" w:hAnsi="Arial" w:cs="Arial"/>
          <w:color w:val="000000" w:themeColor="text1"/>
          <w:sz w:val="22"/>
          <w:szCs w:val="22"/>
          <w:lang w:val="en-US"/>
        </w:rPr>
        <w:t xml:space="preserve">The </w:t>
      </w:r>
      <w:r w:rsidR="003F7785" w:rsidRPr="00DE51A1">
        <w:rPr>
          <w:rFonts w:ascii="Arial" w:hAnsi="Arial" w:cs="Arial"/>
          <w:color w:val="000000" w:themeColor="text1"/>
          <w:sz w:val="22"/>
          <w:szCs w:val="22"/>
          <w:lang w:val="en-US"/>
        </w:rPr>
        <w:t>Anti-Dumping Commission</w:t>
      </w:r>
      <w:r w:rsidR="00B265F7" w:rsidRPr="00DE51A1">
        <w:rPr>
          <w:rFonts w:ascii="Arial" w:hAnsi="Arial" w:cs="Arial"/>
          <w:color w:val="000000" w:themeColor="text1"/>
          <w:sz w:val="22"/>
          <w:szCs w:val="22"/>
          <w:lang w:val="en-US"/>
        </w:rPr>
        <w:t xml:space="preserve"> (</w:t>
      </w:r>
      <w:r w:rsidR="003F7785" w:rsidRPr="00DE51A1">
        <w:rPr>
          <w:rFonts w:ascii="Arial" w:hAnsi="Arial" w:cs="Arial"/>
          <w:color w:val="000000" w:themeColor="text1"/>
          <w:sz w:val="22"/>
          <w:szCs w:val="22"/>
          <w:lang w:val="en-US"/>
        </w:rPr>
        <w:t>the Commission</w:t>
      </w:r>
      <w:r w:rsidR="00B265F7" w:rsidRPr="00DE51A1">
        <w:rPr>
          <w:rFonts w:ascii="Arial" w:hAnsi="Arial" w:cs="Arial"/>
          <w:color w:val="000000" w:themeColor="text1"/>
          <w:sz w:val="22"/>
          <w:szCs w:val="22"/>
          <w:lang w:val="en-US"/>
        </w:rPr>
        <w:t>) requests your response to</w:t>
      </w:r>
      <w:r w:rsidR="00956881">
        <w:rPr>
          <w:rFonts w:ascii="Arial" w:hAnsi="Arial" w:cs="Arial"/>
          <w:color w:val="000000" w:themeColor="text1"/>
          <w:sz w:val="22"/>
          <w:szCs w:val="22"/>
          <w:lang w:val="en-US"/>
        </w:rPr>
        <w:t xml:space="preserve"> an</w:t>
      </w:r>
      <w:r w:rsidR="00B265F7" w:rsidRPr="00DE51A1">
        <w:rPr>
          <w:rFonts w:ascii="Arial" w:hAnsi="Arial" w:cs="Arial"/>
          <w:color w:val="000000" w:themeColor="text1"/>
          <w:sz w:val="22"/>
          <w:szCs w:val="22"/>
          <w:lang w:val="en-US"/>
        </w:rPr>
        <w:t xml:space="preserve"> application</w:t>
      </w:r>
      <w:r w:rsidR="00956881">
        <w:rPr>
          <w:rFonts w:ascii="Arial" w:hAnsi="Arial" w:cs="Arial"/>
          <w:color w:val="000000" w:themeColor="text1"/>
          <w:sz w:val="22"/>
          <w:szCs w:val="22"/>
          <w:lang w:val="en-US"/>
        </w:rPr>
        <w:t xml:space="preserve"> </w:t>
      </w:r>
      <w:r w:rsidR="00B265F7" w:rsidRPr="00DE51A1">
        <w:rPr>
          <w:rFonts w:ascii="Arial" w:hAnsi="Arial" w:cs="Arial"/>
          <w:color w:val="000000" w:themeColor="text1"/>
          <w:sz w:val="22"/>
          <w:szCs w:val="22"/>
          <w:lang w:val="en-US"/>
        </w:rPr>
        <w:t xml:space="preserve">for exemption from </w:t>
      </w:r>
      <w:proofErr w:type="spellStart"/>
      <w:r w:rsidR="00B265F7" w:rsidRPr="00DE51A1">
        <w:rPr>
          <w:rFonts w:ascii="Arial" w:hAnsi="Arial" w:cs="Arial"/>
          <w:color w:val="000000" w:themeColor="text1"/>
          <w:sz w:val="22"/>
          <w:szCs w:val="22"/>
          <w:lang w:val="en-US"/>
        </w:rPr>
        <w:t>anti-dumping</w:t>
      </w:r>
      <w:proofErr w:type="spellEnd"/>
      <w:r w:rsidR="00AA1788" w:rsidRPr="00DE51A1">
        <w:rPr>
          <w:rFonts w:ascii="Arial" w:hAnsi="Arial" w:cs="Arial"/>
          <w:color w:val="000000" w:themeColor="text1"/>
          <w:sz w:val="22"/>
          <w:szCs w:val="22"/>
          <w:lang w:val="en-US"/>
        </w:rPr>
        <w:t xml:space="preserve"> </w:t>
      </w:r>
      <w:r w:rsidR="00B265F7" w:rsidRPr="00DE51A1">
        <w:rPr>
          <w:rFonts w:ascii="Arial" w:hAnsi="Arial" w:cs="Arial"/>
          <w:color w:val="000000" w:themeColor="text1"/>
          <w:sz w:val="22"/>
          <w:szCs w:val="22"/>
          <w:lang w:val="en-US"/>
        </w:rPr>
        <w:t xml:space="preserve">measures under the </w:t>
      </w:r>
      <w:r w:rsidR="00B265F7" w:rsidRPr="00DE51A1">
        <w:rPr>
          <w:rFonts w:ascii="Arial" w:hAnsi="Arial" w:cs="Arial"/>
          <w:i/>
          <w:color w:val="000000" w:themeColor="text1"/>
          <w:sz w:val="22"/>
          <w:szCs w:val="22"/>
          <w:lang w:val="en-US"/>
        </w:rPr>
        <w:t>Customs Tariff (Anti-Dumping) Act 1975</w:t>
      </w:r>
      <w:r w:rsidR="00714CE0">
        <w:rPr>
          <w:rFonts w:ascii="Arial" w:hAnsi="Arial" w:cs="Arial"/>
          <w:color w:val="000000" w:themeColor="text1"/>
          <w:sz w:val="22"/>
          <w:szCs w:val="22"/>
          <w:lang w:val="en-US"/>
        </w:rPr>
        <w:t xml:space="preserve"> (the Dumping Duty Act).</w:t>
      </w:r>
    </w:p>
    <w:p w14:paraId="56F445B9" w14:textId="77777777" w:rsidR="006D66CE" w:rsidRPr="00FD7F0D" w:rsidRDefault="006D66CE" w:rsidP="006D66CE">
      <w:pPr>
        <w:rPr>
          <w:rFonts w:ascii="Arial" w:hAnsi="Arial" w:cs="Arial"/>
          <w:color w:val="000000" w:themeColor="text1"/>
          <w:sz w:val="22"/>
          <w:szCs w:val="22"/>
        </w:rPr>
      </w:pPr>
      <w:r>
        <w:rPr>
          <w:rFonts w:ascii="Arial" w:hAnsi="Arial" w:cs="Arial"/>
          <w:color w:val="000000" w:themeColor="text1"/>
          <w:sz w:val="22"/>
          <w:szCs w:val="22"/>
          <w:lang w:val="en-US"/>
        </w:rPr>
        <w:t>Paragraphs</w:t>
      </w:r>
      <w:r w:rsidRPr="00FD7F0D">
        <w:rPr>
          <w:rFonts w:ascii="Arial" w:hAnsi="Arial" w:cs="Arial"/>
          <w:color w:val="000000" w:themeColor="text1"/>
          <w:sz w:val="22"/>
          <w:szCs w:val="22"/>
          <w:lang w:val="en-US"/>
        </w:rPr>
        <w:t xml:space="preserve"> 8(7</w:t>
      </w:r>
      <w:proofErr w:type="gramStart"/>
      <w:r w:rsidRPr="00FD7F0D">
        <w:rPr>
          <w:rFonts w:ascii="Arial" w:hAnsi="Arial" w:cs="Arial"/>
          <w:color w:val="000000" w:themeColor="text1"/>
          <w:sz w:val="22"/>
          <w:szCs w:val="22"/>
          <w:lang w:val="en-US"/>
        </w:rPr>
        <w:t>)</w:t>
      </w:r>
      <w:r>
        <w:rPr>
          <w:rFonts w:ascii="Arial" w:hAnsi="Arial" w:cs="Arial"/>
          <w:color w:val="000000" w:themeColor="text1"/>
          <w:sz w:val="22"/>
          <w:szCs w:val="22"/>
          <w:lang w:val="en-US"/>
        </w:rPr>
        <w:t>(</w:t>
      </w:r>
      <w:proofErr w:type="gramEnd"/>
      <w:r>
        <w:rPr>
          <w:rFonts w:ascii="Arial" w:hAnsi="Arial" w:cs="Arial"/>
          <w:color w:val="000000" w:themeColor="text1"/>
          <w:sz w:val="22"/>
          <w:szCs w:val="22"/>
          <w:lang w:val="en-US"/>
        </w:rPr>
        <w:t>a)</w:t>
      </w:r>
      <w:r w:rsidRPr="00FD7F0D">
        <w:rPr>
          <w:rFonts w:ascii="Arial" w:hAnsi="Arial" w:cs="Arial"/>
          <w:color w:val="000000" w:themeColor="text1"/>
          <w:sz w:val="22"/>
          <w:szCs w:val="22"/>
          <w:lang w:val="en-US"/>
        </w:rPr>
        <w:t xml:space="preserve"> and 10(8)</w:t>
      </w:r>
      <w:r>
        <w:rPr>
          <w:rFonts w:ascii="Arial" w:hAnsi="Arial" w:cs="Arial"/>
          <w:color w:val="000000" w:themeColor="text1"/>
          <w:sz w:val="22"/>
          <w:szCs w:val="22"/>
          <w:lang w:val="en-US"/>
        </w:rPr>
        <w:t>(a)</w:t>
      </w:r>
      <w:r w:rsidRPr="00FD7F0D">
        <w:rPr>
          <w:rFonts w:ascii="Arial" w:hAnsi="Arial" w:cs="Arial"/>
          <w:color w:val="000000" w:themeColor="text1"/>
          <w:sz w:val="22"/>
          <w:szCs w:val="22"/>
          <w:lang w:val="en-US"/>
        </w:rPr>
        <w:t xml:space="preserve"> of the Dumping Duty Act </w:t>
      </w:r>
      <w:r>
        <w:rPr>
          <w:rFonts w:ascii="Arial" w:hAnsi="Arial" w:cs="Arial"/>
          <w:color w:val="000000" w:themeColor="text1"/>
          <w:sz w:val="22"/>
          <w:szCs w:val="22"/>
          <w:lang w:val="en-US"/>
        </w:rPr>
        <w:t xml:space="preserve">provide a discretion for </w:t>
      </w:r>
      <w:r w:rsidRPr="00FD7F0D">
        <w:rPr>
          <w:rFonts w:ascii="Arial" w:hAnsi="Arial" w:cs="Arial"/>
          <w:color w:val="000000" w:themeColor="text1"/>
          <w:sz w:val="22"/>
          <w:szCs w:val="22"/>
          <w:lang w:val="en-US"/>
        </w:rPr>
        <w:t xml:space="preserve">the Minister </w:t>
      </w:r>
      <w:r>
        <w:rPr>
          <w:rFonts w:ascii="Arial" w:hAnsi="Arial" w:cs="Arial"/>
          <w:color w:val="000000" w:themeColor="text1"/>
          <w:sz w:val="22"/>
          <w:szCs w:val="22"/>
          <w:lang w:val="en-US"/>
        </w:rPr>
        <w:t xml:space="preserve">(or his or her delegate) </w:t>
      </w:r>
      <w:r w:rsidRPr="00FD7F0D">
        <w:rPr>
          <w:rFonts w:ascii="Arial" w:hAnsi="Arial" w:cs="Arial"/>
          <w:color w:val="000000" w:themeColor="text1"/>
          <w:sz w:val="22"/>
          <w:szCs w:val="22"/>
          <w:lang w:val="en-US"/>
        </w:rPr>
        <w:t xml:space="preserve">to exempt goods from </w:t>
      </w:r>
      <w:proofErr w:type="spellStart"/>
      <w:r w:rsidRPr="00F97CCD">
        <w:rPr>
          <w:rFonts w:ascii="Arial" w:hAnsi="Arial" w:cs="Arial"/>
          <w:color w:val="000000" w:themeColor="text1"/>
          <w:sz w:val="22"/>
          <w:szCs w:val="22"/>
          <w:lang w:val="en-US"/>
        </w:rPr>
        <w:t>anti-dumping</w:t>
      </w:r>
      <w:proofErr w:type="spellEnd"/>
      <w:r w:rsidRPr="00F97CCD">
        <w:rPr>
          <w:rFonts w:ascii="Arial" w:hAnsi="Arial" w:cs="Arial"/>
          <w:color w:val="000000" w:themeColor="text1"/>
          <w:sz w:val="22"/>
          <w:szCs w:val="22"/>
          <w:lang w:val="en-US"/>
        </w:rPr>
        <w:t xml:space="preserve"> </w:t>
      </w:r>
      <w:r w:rsidRPr="00FD7F0D">
        <w:rPr>
          <w:rFonts w:ascii="Arial" w:hAnsi="Arial" w:cs="Arial"/>
          <w:color w:val="000000" w:themeColor="text1"/>
          <w:sz w:val="22"/>
          <w:szCs w:val="22"/>
          <w:lang w:val="en-US"/>
        </w:rPr>
        <w:t xml:space="preserve">measures, where he or she is satisfied that </w:t>
      </w:r>
      <w:r w:rsidRPr="00FD7F0D">
        <w:rPr>
          <w:rFonts w:ascii="Arial" w:hAnsi="Arial" w:cs="Arial"/>
          <w:color w:val="000000" w:themeColor="text1"/>
          <w:sz w:val="22"/>
          <w:szCs w:val="22"/>
        </w:rPr>
        <w:t xml:space="preserve">like or directly competitive goods are not offered for sale in Australia to all purchasers on equal terms under like conditions having regard to the custom and usage of trade. </w:t>
      </w:r>
    </w:p>
    <w:p w14:paraId="15C43F91" w14:textId="1271C89C" w:rsidR="00B265F7" w:rsidRPr="00DE51A1" w:rsidRDefault="006D04C1" w:rsidP="002E3E03">
      <w:pPr>
        <w:spacing w:before="120" w:after="120"/>
        <w:rPr>
          <w:rFonts w:ascii="Arial" w:hAnsi="Arial" w:cs="Arial"/>
          <w:color w:val="000000" w:themeColor="text1"/>
          <w:sz w:val="22"/>
          <w:szCs w:val="22"/>
        </w:rPr>
      </w:pPr>
      <w:r w:rsidRPr="00DE51A1">
        <w:rPr>
          <w:rFonts w:ascii="Arial" w:hAnsi="Arial" w:cs="Arial"/>
          <w:color w:val="000000" w:themeColor="text1"/>
          <w:sz w:val="22"/>
          <w:szCs w:val="22"/>
        </w:rPr>
        <w:t xml:space="preserve">The </w:t>
      </w:r>
      <w:r w:rsidR="003F7785" w:rsidRPr="00DE51A1">
        <w:rPr>
          <w:rFonts w:ascii="Arial" w:hAnsi="Arial" w:cs="Arial"/>
          <w:color w:val="000000" w:themeColor="text1"/>
          <w:sz w:val="22"/>
          <w:szCs w:val="22"/>
        </w:rPr>
        <w:t>Commission</w:t>
      </w:r>
      <w:r w:rsidR="00B265F7" w:rsidRPr="00DE51A1">
        <w:rPr>
          <w:rFonts w:ascii="Arial" w:hAnsi="Arial" w:cs="Arial"/>
          <w:color w:val="000000" w:themeColor="text1"/>
          <w:sz w:val="22"/>
          <w:szCs w:val="22"/>
        </w:rPr>
        <w:t xml:space="preserve"> has received </w:t>
      </w:r>
      <w:r w:rsidR="00B47EC6">
        <w:rPr>
          <w:rFonts w:ascii="Arial" w:hAnsi="Arial" w:cs="Arial"/>
          <w:color w:val="000000" w:themeColor="text1"/>
          <w:sz w:val="22"/>
          <w:szCs w:val="22"/>
        </w:rPr>
        <w:t xml:space="preserve">an </w:t>
      </w:r>
      <w:r w:rsidR="00B265F7" w:rsidRPr="00DE51A1">
        <w:rPr>
          <w:rFonts w:ascii="Arial" w:hAnsi="Arial" w:cs="Arial"/>
          <w:color w:val="000000" w:themeColor="text1"/>
          <w:sz w:val="22"/>
          <w:szCs w:val="22"/>
        </w:rPr>
        <w:t xml:space="preserve">application for exemption from </w:t>
      </w:r>
      <w:proofErr w:type="spellStart"/>
      <w:r w:rsidR="00B265F7" w:rsidRPr="00DE51A1">
        <w:rPr>
          <w:rFonts w:ascii="Arial" w:hAnsi="Arial" w:cs="Arial"/>
          <w:color w:val="000000" w:themeColor="text1"/>
          <w:sz w:val="22"/>
          <w:szCs w:val="22"/>
        </w:rPr>
        <w:t>anti-dumping</w:t>
      </w:r>
      <w:proofErr w:type="spellEnd"/>
      <w:r w:rsidR="008939BB" w:rsidRPr="00DE51A1">
        <w:rPr>
          <w:rFonts w:ascii="Arial" w:hAnsi="Arial" w:cs="Arial"/>
          <w:color w:val="000000" w:themeColor="text1"/>
          <w:sz w:val="22"/>
          <w:szCs w:val="22"/>
        </w:rPr>
        <w:t xml:space="preserve"> </w:t>
      </w:r>
      <w:r w:rsidR="00B265F7" w:rsidRPr="00DE51A1">
        <w:rPr>
          <w:rFonts w:ascii="Arial" w:hAnsi="Arial" w:cs="Arial"/>
          <w:color w:val="000000" w:themeColor="text1"/>
          <w:sz w:val="22"/>
          <w:szCs w:val="22"/>
        </w:rPr>
        <w:t xml:space="preserve">measures in respect of </w:t>
      </w:r>
      <w:r w:rsidR="00F5487D" w:rsidRPr="00F5487D">
        <w:rPr>
          <w:rFonts w:ascii="Arial" w:hAnsi="Arial" w:cs="Arial"/>
          <w:color w:val="000000" w:themeColor="text1"/>
          <w:sz w:val="22"/>
          <w:szCs w:val="22"/>
        </w:rPr>
        <w:t xml:space="preserve">certain </w:t>
      </w:r>
      <w:r w:rsidR="004D4971">
        <w:rPr>
          <w:rFonts w:ascii="Arial" w:hAnsi="Arial" w:cs="Arial"/>
          <w:color w:val="000000" w:themeColor="text1"/>
          <w:sz w:val="22"/>
          <w:szCs w:val="22"/>
        </w:rPr>
        <w:t xml:space="preserve">hollow structural sections (HSS) </w:t>
      </w:r>
      <w:r w:rsidR="00B265F7" w:rsidRPr="00DE51A1">
        <w:rPr>
          <w:rFonts w:ascii="Arial" w:hAnsi="Arial" w:cs="Arial"/>
          <w:color w:val="000000" w:themeColor="text1"/>
          <w:sz w:val="22"/>
          <w:szCs w:val="22"/>
        </w:rPr>
        <w:t>for the goods described at section 5 of this form (</w:t>
      </w:r>
      <w:r w:rsidR="00AA1788" w:rsidRPr="00DE51A1">
        <w:rPr>
          <w:rFonts w:ascii="Arial" w:hAnsi="Arial" w:cs="Arial"/>
          <w:color w:val="000000" w:themeColor="text1"/>
          <w:sz w:val="22"/>
          <w:szCs w:val="22"/>
        </w:rPr>
        <w:t>‘the exemption goods’</w:t>
      </w:r>
      <w:r w:rsidR="00B265F7" w:rsidRPr="00DE51A1">
        <w:rPr>
          <w:rFonts w:ascii="Arial" w:hAnsi="Arial" w:cs="Arial"/>
          <w:color w:val="000000" w:themeColor="text1"/>
          <w:sz w:val="22"/>
          <w:szCs w:val="22"/>
        </w:rPr>
        <w:t xml:space="preserve">). </w:t>
      </w:r>
    </w:p>
    <w:p w14:paraId="15C43F92" w14:textId="478364D3" w:rsidR="00B265F7" w:rsidRPr="00DE51A1" w:rsidRDefault="00B265F7" w:rsidP="002E3E03">
      <w:pPr>
        <w:spacing w:before="120" w:after="120"/>
        <w:rPr>
          <w:rFonts w:ascii="Arial" w:hAnsi="Arial" w:cs="Arial"/>
          <w:color w:val="000000" w:themeColor="text1"/>
          <w:sz w:val="22"/>
          <w:szCs w:val="22"/>
          <w:lang w:val="en-US"/>
        </w:rPr>
      </w:pPr>
      <w:r w:rsidRPr="00DE51A1">
        <w:rPr>
          <w:rFonts w:ascii="Arial" w:hAnsi="Arial" w:cs="Arial"/>
          <w:color w:val="000000" w:themeColor="text1"/>
          <w:sz w:val="22"/>
          <w:szCs w:val="22"/>
          <w:lang w:val="en-US"/>
        </w:rPr>
        <w:t xml:space="preserve">You have been identified from </w:t>
      </w:r>
      <w:r w:rsidR="008939BB" w:rsidRPr="00DE51A1">
        <w:rPr>
          <w:rFonts w:ascii="Arial" w:hAnsi="Arial" w:cs="Arial"/>
          <w:color w:val="000000" w:themeColor="text1"/>
          <w:sz w:val="22"/>
          <w:szCs w:val="22"/>
          <w:lang w:val="en-US"/>
        </w:rPr>
        <w:t xml:space="preserve">the Commission’s </w:t>
      </w:r>
      <w:r w:rsidRPr="00DE51A1">
        <w:rPr>
          <w:rFonts w:ascii="Arial" w:hAnsi="Arial" w:cs="Arial"/>
          <w:color w:val="000000" w:themeColor="text1"/>
          <w:sz w:val="22"/>
          <w:szCs w:val="22"/>
          <w:lang w:val="en-US"/>
        </w:rPr>
        <w:t xml:space="preserve">investigation in respect of </w:t>
      </w:r>
      <w:r w:rsidR="00F5487D" w:rsidRPr="00F5487D">
        <w:rPr>
          <w:rFonts w:ascii="Arial" w:hAnsi="Arial" w:cs="Arial"/>
          <w:color w:val="000000" w:themeColor="text1"/>
          <w:sz w:val="22"/>
          <w:szCs w:val="22"/>
          <w:lang w:val="en-US"/>
        </w:rPr>
        <w:t xml:space="preserve">certain </w:t>
      </w:r>
      <w:r w:rsidR="004D4971">
        <w:rPr>
          <w:rFonts w:ascii="Arial" w:hAnsi="Arial" w:cs="Arial"/>
          <w:color w:val="000000" w:themeColor="text1"/>
          <w:sz w:val="22"/>
          <w:szCs w:val="22"/>
          <w:lang w:val="en-US"/>
        </w:rPr>
        <w:t>HSS</w:t>
      </w:r>
      <w:r w:rsidR="00F5487D" w:rsidRPr="00F5487D">
        <w:rPr>
          <w:rFonts w:ascii="Arial" w:hAnsi="Arial" w:cs="Arial"/>
          <w:color w:val="000000" w:themeColor="text1"/>
          <w:sz w:val="22"/>
          <w:szCs w:val="22"/>
          <w:lang w:val="en-US"/>
        </w:rPr>
        <w:t xml:space="preserve"> </w:t>
      </w:r>
      <w:r w:rsidRPr="00DE51A1">
        <w:rPr>
          <w:rFonts w:ascii="Arial" w:hAnsi="Arial" w:cs="Arial"/>
          <w:color w:val="000000" w:themeColor="text1"/>
          <w:sz w:val="22"/>
          <w:szCs w:val="22"/>
          <w:lang w:val="en-US"/>
        </w:rPr>
        <w:t xml:space="preserve">as an Australian producer of </w:t>
      </w:r>
      <w:r w:rsidR="00F20E7E" w:rsidRPr="00DE51A1">
        <w:rPr>
          <w:rFonts w:ascii="Arial" w:hAnsi="Arial" w:cs="Arial"/>
          <w:color w:val="000000" w:themeColor="text1"/>
          <w:sz w:val="22"/>
          <w:szCs w:val="22"/>
          <w:lang w:val="en-US"/>
        </w:rPr>
        <w:t>the goods</w:t>
      </w:r>
      <w:r w:rsidRPr="00DE51A1">
        <w:rPr>
          <w:rFonts w:ascii="Arial" w:hAnsi="Arial" w:cs="Arial"/>
          <w:color w:val="000000" w:themeColor="text1"/>
          <w:sz w:val="22"/>
          <w:szCs w:val="22"/>
          <w:lang w:val="en-US"/>
        </w:rPr>
        <w:t xml:space="preserve">. </w:t>
      </w:r>
    </w:p>
    <w:p w14:paraId="15C43F93" w14:textId="66F6C46A" w:rsidR="00B265F7" w:rsidRPr="00DE51A1" w:rsidRDefault="006D04C1" w:rsidP="002E3E03">
      <w:pPr>
        <w:spacing w:before="120" w:after="120"/>
        <w:rPr>
          <w:rFonts w:ascii="Arial" w:hAnsi="Arial" w:cs="Arial"/>
          <w:color w:val="000000" w:themeColor="text1"/>
          <w:sz w:val="22"/>
          <w:szCs w:val="22"/>
          <w:lang w:val="en-US"/>
        </w:rPr>
      </w:pPr>
      <w:r w:rsidRPr="00DE51A1">
        <w:rPr>
          <w:rFonts w:ascii="Arial" w:hAnsi="Arial" w:cs="Arial"/>
          <w:color w:val="000000" w:themeColor="text1"/>
          <w:sz w:val="22"/>
          <w:szCs w:val="22"/>
          <w:lang w:val="en-US"/>
        </w:rPr>
        <w:t xml:space="preserve">The </w:t>
      </w:r>
      <w:r w:rsidR="003F7785" w:rsidRPr="00DE51A1">
        <w:rPr>
          <w:rFonts w:ascii="Arial" w:hAnsi="Arial" w:cs="Arial"/>
          <w:color w:val="000000" w:themeColor="text1"/>
          <w:sz w:val="22"/>
          <w:szCs w:val="22"/>
          <w:lang w:val="en-US"/>
        </w:rPr>
        <w:t>Commission</w:t>
      </w:r>
      <w:r w:rsidR="00D505FC">
        <w:rPr>
          <w:rFonts w:ascii="Arial" w:hAnsi="Arial" w:cs="Arial"/>
          <w:color w:val="000000" w:themeColor="text1"/>
          <w:sz w:val="22"/>
          <w:szCs w:val="22"/>
          <w:lang w:val="en-US"/>
        </w:rPr>
        <w:t xml:space="preserve"> seeks your assistance in th</w:t>
      </w:r>
      <w:r w:rsidR="00263F66">
        <w:rPr>
          <w:rFonts w:ascii="Arial" w:hAnsi="Arial" w:cs="Arial"/>
          <w:color w:val="000000" w:themeColor="text1"/>
          <w:sz w:val="22"/>
          <w:szCs w:val="22"/>
          <w:lang w:val="en-US"/>
        </w:rPr>
        <w:t>is exemption inquiry</w:t>
      </w:r>
      <w:r w:rsidR="00B265F7" w:rsidRPr="00DE51A1">
        <w:rPr>
          <w:rFonts w:ascii="Arial" w:hAnsi="Arial" w:cs="Arial"/>
          <w:color w:val="000000" w:themeColor="text1"/>
          <w:sz w:val="22"/>
          <w:szCs w:val="22"/>
          <w:lang w:val="en-US"/>
        </w:rPr>
        <w:t xml:space="preserve"> by responding to the questions in this form. </w:t>
      </w:r>
      <w:r w:rsidRPr="00DE51A1">
        <w:rPr>
          <w:rFonts w:ascii="Arial" w:hAnsi="Arial" w:cs="Arial"/>
          <w:color w:val="000000" w:themeColor="text1"/>
          <w:sz w:val="22"/>
          <w:szCs w:val="22"/>
          <w:lang w:val="en-US"/>
        </w:rPr>
        <w:t xml:space="preserve">The </w:t>
      </w:r>
      <w:r w:rsidR="003F7785" w:rsidRPr="00DE51A1">
        <w:rPr>
          <w:rFonts w:ascii="Arial" w:hAnsi="Arial" w:cs="Arial"/>
          <w:color w:val="000000" w:themeColor="text1"/>
          <w:sz w:val="22"/>
          <w:szCs w:val="22"/>
          <w:lang w:val="en-US"/>
        </w:rPr>
        <w:t>Commission</w:t>
      </w:r>
      <w:r w:rsidR="00B265F7" w:rsidRPr="00DE51A1">
        <w:rPr>
          <w:rFonts w:ascii="Arial" w:hAnsi="Arial" w:cs="Arial"/>
          <w:color w:val="000000" w:themeColor="text1"/>
          <w:sz w:val="22"/>
          <w:szCs w:val="22"/>
          <w:lang w:val="en-US"/>
        </w:rPr>
        <w:t xml:space="preserve"> will use the information you provide in its assessment as to whether exemption</w:t>
      </w:r>
      <w:r w:rsidR="00D505FC">
        <w:rPr>
          <w:rFonts w:ascii="Arial" w:hAnsi="Arial" w:cs="Arial"/>
          <w:color w:val="000000" w:themeColor="text1"/>
          <w:sz w:val="22"/>
          <w:szCs w:val="22"/>
          <w:lang w:val="en-US"/>
        </w:rPr>
        <w:t>s</w:t>
      </w:r>
      <w:r w:rsidR="00B265F7" w:rsidRPr="00DE51A1">
        <w:rPr>
          <w:rFonts w:ascii="Arial" w:hAnsi="Arial" w:cs="Arial"/>
          <w:color w:val="000000" w:themeColor="text1"/>
          <w:sz w:val="22"/>
          <w:szCs w:val="22"/>
          <w:lang w:val="en-US"/>
        </w:rPr>
        <w:t xml:space="preserve"> from</w:t>
      </w:r>
      <w:r w:rsidR="00B47EC6">
        <w:rPr>
          <w:rFonts w:ascii="Arial" w:hAnsi="Arial" w:cs="Arial"/>
          <w:color w:val="000000" w:themeColor="text1"/>
          <w:sz w:val="22"/>
          <w:szCs w:val="22"/>
          <w:lang w:val="en-US"/>
        </w:rPr>
        <w:t xml:space="preserve"> dumping duty</w:t>
      </w:r>
      <w:r w:rsidR="00B265F7" w:rsidRPr="00DE51A1">
        <w:rPr>
          <w:rFonts w:ascii="Arial" w:hAnsi="Arial" w:cs="Arial"/>
          <w:color w:val="000000" w:themeColor="text1"/>
          <w:sz w:val="22"/>
          <w:szCs w:val="22"/>
          <w:lang w:val="en-US"/>
        </w:rPr>
        <w:t xml:space="preserve"> may be recommended to the </w:t>
      </w:r>
      <w:r w:rsidR="008939BB" w:rsidRPr="00DE51A1">
        <w:rPr>
          <w:rFonts w:ascii="Arial" w:hAnsi="Arial" w:cs="Arial"/>
          <w:color w:val="000000" w:themeColor="text1"/>
          <w:sz w:val="22"/>
          <w:szCs w:val="22"/>
          <w:lang w:val="en-US"/>
        </w:rPr>
        <w:t xml:space="preserve">Parliamentary Secretary to the </w:t>
      </w:r>
      <w:r w:rsidR="00B265F7" w:rsidRPr="00DE51A1">
        <w:rPr>
          <w:rFonts w:ascii="Arial" w:hAnsi="Arial" w:cs="Arial"/>
          <w:color w:val="000000" w:themeColor="text1"/>
          <w:sz w:val="22"/>
          <w:szCs w:val="22"/>
          <w:lang w:val="en-US"/>
        </w:rPr>
        <w:t>Minister</w:t>
      </w:r>
      <w:r w:rsidR="008939BB" w:rsidRPr="00DE51A1">
        <w:rPr>
          <w:rFonts w:ascii="Arial" w:hAnsi="Arial" w:cs="Arial"/>
          <w:color w:val="000000" w:themeColor="text1"/>
          <w:sz w:val="22"/>
          <w:szCs w:val="22"/>
          <w:lang w:val="en-US"/>
        </w:rPr>
        <w:t xml:space="preserve"> for Industry</w:t>
      </w:r>
      <w:r w:rsidR="00B33B7D">
        <w:rPr>
          <w:rFonts w:ascii="Arial" w:hAnsi="Arial" w:cs="Arial"/>
          <w:color w:val="000000" w:themeColor="text1"/>
          <w:sz w:val="22"/>
          <w:szCs w:val="22"/>
          <w:lang w:val="en-US"/>
        </w:rPr>
        <w:t>, Innovation</w:t>
      </w:r>
      <w:r w:rsidR="007723CF" w:rsidRPr="00DE51A1">
        <w:rPr>
          <w:rFonts w:ascii="Arial" w:hAnsi="Arial" w:cs="Arial"/>
          <w:color w:val="000000" w:themeColor="text1"/>
          <w:sz w:val="22"/>
          <w:szCs w:val="22"/>
          <w:lang w:val="en-US"/>
        </w:rPr>
        <w:t xml:space="preserve"> and Science</w:t>
      </w:r>
      <w:r w:rsidR="008939BB" w:rsidRPr="00DE51A1">
        <w:rPr>
          <w:rFonts w:ascii="Arial" w:hAnsi="Arial" w:cs="Arial"/>
          <w:color w:val="000000" w:themeColor="text1"/>
          <w:sz w:val="22"/>
          <w:szCs w:val="22"/>
          <w:lang w:val="en-US"/>
        </w:rPr>
        <w:t xml:space="preserve"> (as the relevant delegate of the Minister)</w:t>
      </w:r>
      <w:r w:rsidR="00B265F7" w:rsidRPr="00DE51A1">
        <w:rPr>
          <w:rFonts w:ascii="Arial" w:hAnsi="Arial" w:cs="Arial"/>
          <w:color w:val="000000" w:themeColor="text1"/>
          <w:sz w:val="22"/>
          <w:szCs w:val="22"/>
          <w:lang w:val="en-US"/>
        </w:rPr>
        <w:t xml:space="preserve">.   </w:t>
      </w:r>
    </w:p>
    <w:p w14:paraId="15C43F94" w14:textId="34578B51" w:rsidR="00B265F7" w:rsidRPr="00DE51A1" w:rsidRDefault="00350F81" w:rsidP="00E1436D">
      <w:pPr>
        <w:numPr>
          <w:ilvl w:val="0"/>
          <w:numId w:val="6"/>
        </w:numPr>
        <w:spacing w:before="240" w:after="120"/>
        <w:rPr>
          <w:rFonts w:ascii="Arial" w:hAnsi="Arial" w:cs="Arial"/>
          <w:b/>
          <w:color w:val="000000" w:themeColor="text1"/>
          <w:lang w:val="en-US"/>
        </w:rPr>
      </w:pPr>
      <w:r w:rsidRPr="00DE51A1">
        <w:rPr>
          <w:rFonts w:ascii="Arial" w:hAnsi="Arial" w:cs="Arial"/>
          <w:b/>
          <w:color w:val="000000" w:themeColor="text1"/>
          <w:lang w:val="en-US"/>
        </w:rPr>
        <w:t>M</w:t>
      </w:r>
      <w:r w:rsidR="00B265F7" w:rsidRPr="00DE51A1">
        <w:rPr>
          <w:rFonts w:ascii="Arial" w:hAnsi="Arial" w:cs="Arial"/>
          <w:b/>
          <w:color w:val="000000" w:themeColor="text1"/>
          <w:lang w:val="en-US"/>
        </w:rPr>
        <w:t xml:space="preserve">easures </w:t>
      </w:r>
      <w:r w:rsidRPr="00DE51A1">
        <w:rPr>
          <w:rFonts w:ascii="Arial" w:hAnsi="Arial" w:cs="Arial"/>
          <w:b/>
          <w:color w:val="000000" w:themeColor="text1"/>
          <w:lang w:val="en-US"/>
        </w:rPr>
        <w:t xml:space="preserve">on </w:t>
      </w:r>
      <w:r w:rsidR="005A3301">
        <w:rPr>
          <w:rFonts w:ascii="Arial" w:hAnsi="Arial" w:cs="Arial"/>
          <w:b/>
          <w:color w:val="000000" w:themeColor="text1"/>
          <w:lang w:val="en-US"/>
        </w:rPr>
        <w:t>hollow structural sections</w:t>
      </w:r>
    </w:p>
    <w:p w14:paraId="235F7C1A" w14:textId="77777777" w:rsidR="005A3301" w:rsidRPr="005A3301" w:rsidRDefault="005A3301" w:rsidP="005A3301">
      <w:pPr>
        <w:pStyle w:val="BodyText"/>
        <w:rPr>
          <w:rFonts w:cs="Arial"/>
          <w:sz w:val="22"/>
          <w:szCs w:val="22"/>
          <w:lang w:eastAsia="en-AU"/>
        </w:rPr>
      </w:pPr>
      <w:proofErr w:type="spellStart"/>
      <w:r w:rsidRPr="005A3301">
        <w:rPr>
          <w:rFonts w:cs="Arial"/>
          <w:sz w:val="22"/>
          <w:szCs w:val="22"/>
          <w:lang w:eastAsia="en-AU"/>
        </w:rPr>
        <w:t>Anti-dumping</w:t>
      </w:r>
      <w:proofErr w:type="spellEnd"/>
      <w:r w:rsidRPr="005A3301">
        <w:rPr>
          <w:rFonts w:cs="Arial"/>
          <w:sz w:val="22"/>
          <w:szCs w:val="22"/>
          <w:lang w:eastAsia="en-AU"/>
        </w:rPr>
        <w:t xml:space="preserve"> measures, in the form of a dumping and countervailing duty notice, were initially imposed on hollow structural sections by public notice on 3 July 2012 by the then Minister for Home Affairs following consideration of International Trade </w:t>
      </w:r>
      <w:r w:rsidRPr="005A3301">
        <w:rPr>
          <w:rFonts w:cs="Arial"/>
          <w:i/>
          <w:sz w:val="22"/>
          <w:szCs w:val="22"/>
          <w:lang w:eastAsia="en-AU"/>
        </w:rPr>
        <w:t>Remedies Branch Report No. 177</w:t>
      </w:r>
      <w:r w:rsidRPr="005A3301">
        <w:rPr>
          <w:rFonts w:cs="Arial"/>
          <w:sz w:val="22"/>
          <w:szCs w:val="22"/>
          <w:lang w:eastAsia="en-AU"/>
        </w:rPr>
        <w:t xml:space="preserve"> (REP 177). The measures currently apply as follows:</w:t>
      </w:r>
    </w:p>
    <w:p w14:paraId="3590DE07" w14:textId="77777777" w:rsidR="005A3301" w:rsidRDefault="005A3301" w:rsidP="005A3301">
      <w:pPr>
        <w:pStyle w:val="BodyText"/>
        <w:numPr>
          <w:ilvl w:val="0"/>
          <w:numId w:val="40"/>
        </w:numPr>
        <w:rPr>
          <w:rFonts w:cs="Arial"/>
          <w:sz w:val="22"/>
          <w:szCs w:val="22"/>
          <w:lang w:eastAsia="en-AU"/>
        </w:rPr>
      </w:pPr>
      <w:r w:rsidRPr="005A3301">
        <w:rPr>
          <w:rFonts w:cs="Arial"/>
          <w:sz w:val="22"/>
          <w:szCs w:val="22"/>
          <w:lang w:eastAsia="en-AU"/>
        </w:rPr>
        <w:t>the dumping duty notice applies to all exporters of HSS from China, the Republic of Korea, Malaysia and Taiwan; and</w:t>
      </w:r>
    </w:p>
    <w:p w14:paraId="2F7F8114" w14:textId="22976CCB" w:rsidR="005A3301" w:rsidRPr="005A3301" w:rsidRDefault="005A3301" w:rsidP="005A3301">
      <w:pPr>
        <w:pStyle w:val="BodyText"/>
        <w:numPr>
          <w:ilvl w:val="0"/>
          <w:numId w:val="40"/>
        </w:numPr>
        <w:rPr>
          <w:rFonts w:cs="Arial"/>
          <w:sz w:val="22"/>
          <w:szCs w:val="22"/>
          <w:lang w:eastAsia="en-AU"/>
        </w:rPr>
      </w:pPr>
      <w:proofErr w:type="gramStart"/>
      <w:r>
        <w:rPr>
          <w:rFonts w:cs="Arial"/>
          <w:sz w:val="22"/>
          <w:szCs w:val="22"/>
          <w:lang w:eastAsia="en-AU"/>
        </w:rPr>
        <w:t>t</w:t>
      </w:r>
      <w:r w:rsidRPr="005A3301">
        <w:rPr>
          <w:rFonts w:cs="Arial"/>
          <w:sz w:val="22"/>
          <w:szCs w:val="22"/>
          <w:lang w:eastAsia="en-AU"/>
        </w:rPr>
        <w:t>he</w:t>
      </w:r>
      <w:proofErr w:type="gramEnd"/>
      <w:r w:rsidRPr="005A3301">
        <w:rPr>
          <w:rFonts w:cs="Arial"/>
          <w:sz w:val="22"/>
          <w:szCs w:val="22"/>
          <w:lang w:eastAsia="en-AU"/>
        </w:rPr>
        <w:t xml:space="preserve"> countervailing duty notice applies to all exporters of HSS from China except Dalian </w:t>
      </w:r>
      <w:proofErr w:type="spellStart"/>
      <w:r w:rsidRPr="005A3301">
        <w:rPr>
          <w:rFonts w:cs="Arial"/>
          <w:sz w:val="22"/>
          <w:szCs w:val="22"/>
          <w:lang w:eastAsia="en-AU"/>
        </w:rPr>
        <w:t>Steelforce</w:t>
      </w:r>
      <w:proofErr w:type="spellEnd"/>
      <w:r w:rsidRPr="005A3301">
        <w:rPr>
          <w:rFonts w:cs="Arial"/>
          <w:sz w:val="22"/>
          <w:szCs w:val="22"/>
          <w:lang w:eastAsia="en-AU"/>
        </w:rPr>
        <w:t xml:space="preserve"> Hi-Tech Co Ltd, </w:t>
      </w:r>
      <w:proofErr w:type="spellStart"/>
      <w:r w:rsidRPr="005A3301">
        <w:rPr>
          <w:rFonts w:cs="Arial"/>
          <w:sz w:val="22"/>
          <w:szCs w:val="22"/>
          <w:lang w:eastAsia="en-AU"/>
        </w:rPr>
        <w:t>Huludao</w:t>
      </w:r>
      <w:proofErr w:type="spellEnd"/>
      <w:r w:rsidRPr="005A3301">
        <w:rPr>
          <w:rFonts w:cs="Arial"/>
          <w:sz w:val="22"/>
          <w:szCs w:val="22"/>
          <w:lang w:eastAsia="en-AU"/>
        </w:rPr>
        <w:t xml:space="preserve"> City Steel Pipe Industrial Co Ltd and Qingdao </w:t>
      </w:r>
      <w:proofErr w:type="spellStart"/>
      <w:r w:rsidRPr="005A3301">
        <w:rPr>
          <w:rFonts w:cs="Arial"/>
          <w:sz w:val="22"/>
          <w:szCs w:val="22"/>
          <w:lang w:eastAsia="en-AU"/>
        </w:rPr>
        <w:t>Xianxing</w:t>
      </w:r>
      <w:proofErr w:type="spellEnd"/>
      <w:r w:rsidRPr="005A3301">
        <w:rPr>
          <w:rFonts w:cs="Arial"/>
          <w:sz w:val="22"/>
          <w:szCs w:val="22"/>
          <w:lang w:eastAsia="en-AU"/>
        </w:rPr>
        <w:t xml:space="preserve"> Steel Pipe Co Ltd.</w:t>
      </w:r>
    </w:p>
    <w:p w14:paraId="7AAC8B57" w14:textId="348A7E01" w:rsidR="001B6AF4" w:rsidRDefault="005A3301" w:rsidP="005A3301">
      <w:pPr>
        <w:pStyle w:val="BodyText"/>
        <w:rPr>
          <w:rFonts w:cs="Arial"/>
          <w:sz w:val="22"/>
          <w:szCs w:val="22"/>
          <w:lang w:eastAsia="en-AU"/>
        </w:rPr>
      </w:pPr>
      <w:r w:rsidRPr="005A3301">
        <w:rPr>
          <w:rFonts w:cs="Arial"/>
          <w:sz w:val="22"/>
          <w:szCs w:val="22"/>
          <w:lang w:eastAsia="en-AU"/>
        </w:rPr>
        <w:t xml:space="preserve">The </w:t>
      </w:r>
      <w:proofErr w:type="spellStart"/>
      <w:r w:rsidRPr="005A3301">
        <w:rPr>
          <w:rFonts w:cs="Arial"/>
          <w:sz w:val="22"/>
          <w:szCs w:val="22"/>
          <w:lang w:eastAsia="en-AU"/>
        </w:rPr>
        <w:t>anti-dumping</w:t>
      </w:r>
      <w:proofErr w:type="spellEnd"/>
      <w:r w:rsidRPr="005A3301">
        <w:rPr>
          <w:rFonts w:cs="Arial"/>
          <w:sz w:val="22"/>
          <w:szCs w:val="22"/>
          <w:lang w:eastAsia="en-AU"/>
        </w:rPr>
        <w:t xml:space="preserve"> measures on HSS exported to Australia from the nominated countries were due to expire on 2 July 2017. Following consideration of Anti-Dumping Commission Report No. 379 (REP379), the Assistant Minister for Industry, Innovation and Science and the Parliamentary Secretary to the Minister for Industry, Innovation and Science (Parliamentary Secretary</w:t>
      </w:r>
      <w:proofErr w:type="gramStart"/>
      <w:r w:rsidRPr="005A3301">
        <w:rPr>
          <w:rFonts w:cs="Arial"/>
          <w:sz w:val="22"/>
          <w:szCs w:val="22"/>
          <w:lang w:eastAsia="en-AU"/>
        </w:rPr>
        <w:t>)  on</w:t>
      </w:r>
      <w:proofErr w:type="gramEnd"/>
      <w:r w:rsidRPr="005A3301">
        <w:rPr>
          <w:rFonts w:cs="Arial"/>
          <w:sz w:val="22"/>
          <w:szCs w:val="22"/>
          <w:lang w:eastAsia="en-AU"/>
        </w:rPr>
        <w:t xml:space="preserve"> 21 June 2017 determined that the dumping duty notice and countervailing duty notice would continue in force after 2 July 2017 and that, after that date, the notices would have effect as if different variable factors had been fixed relevant to the determination of duty.</w:t>
      </w:r>
      <w:r w:rsidR="009666CF" w:rsidRPr="009666CF">
        <w:t xml:space="preserve"> </w:t>
      </w:r>
      <w:r w:rsidR="009666CF" w:rsidRPr="009666CF">
        <w:rPr>
          <w:rFonts w:cs="Arial"/>
          <w:sz w:val="22"/>
          <w:szCs w:val="22"/>
          <w:lang w:eastAsia="en-AU"/>
        </w:rPr>
        <w:t xml:space="preserve">Particulars of the dumping and subsidy margins established for each of the exporters and the effective rates of duty are set out </w:t>
      </w:r>
      <w:r w:rsidR="00FE4CAC">
        <w:rPr>
          <w:rFonts w:cs="Arial"/>
          <w:sz w:val="22"/>
          <w:szCs w:val="22"/>
          <w:lang w:eastAsia="en-AU"/>
        </w:rPr>
        <w:t xml:space="preserve">at </w:t>
      </w:r>
      <w:hyperlink r:id="rId12" w:history="1">
        <w:r w:rsidR="00FE4CAC" w:rsidRPr="000D3041">
          <w:rPr>
            <w:rStyle w:val="Hyperlink"/>
            <w:rFonts w:cs="Arial"/>
            <w:sz w:val="22"/>
            <w:szCs w:val="22"/>
            <w:lang w:eastAsia="en-AU"/>
          </w:rPr>
          <w:t>http://adcommission.gov.au/measures</w:t>
        </w:r>
      </w:hyperlink>
    </w:p>
    <w:p w14:paraId="11CFF90E" w14:textId="0BD4AA22" w:rsidR="001B6AF4" w:rsidRDefault="001B6AF4" w:rsidP="00F5487D">
      <w:pPr>
        <w:pStyle w:val="BodyText"/>
        <w:rPr>
          <w:rFonts w:cs="Arial"/>
          <w:color w:val="000000" w:themeColor="text1"/>
          <w:sz w:val="22"/>
          <w:szCs w:val="22"/>
        </w:rPr>
      </w:pPr>
    </w:p>
    <w:p w14:paraId="15C43F99" w14:textId="77777777" w:rsidR="00B265F7" w:rsidRPr="00E1436D" w:rsidRDefault="00B265F7" w:rsidP="00B33B7D">
      <w:pPr>
        <w:keepNext/>
        <w:numPr>
          <w:ilvl w:val="0"/>
          <w:numId w:val="6"/>
        </w:numPr>
        <w:spacing w:before="240" w:after="120"/>
        <w:rPr>
          <w:rFonts w:ascii="Arial" w:hAnsi="Arial" w:cs="Arial"/>
          <w:b/>
          <w:color w:val="000000" w:themeColor="text1"/>
          <w:lang w:val="en-US"/>
        </w:rPr>
      </w:pPr>
      <w:bookmarkStart w:id="1" w:name="_Toc285033190"/>
      <w:bookmarkStart w:id="2" w:name="_Toc285033191"/>
      <w:bookmarkStart w:id="3" w:name="_Ref285027574"/>
      <w:bookmarkStart w:id="4" w:name="_Toc285106036"/>
      <w:bookmarkEnd w:id="1"/>
      <w:bookmarkEnd w:id="2"/>
      <w:r w:rsidRPr="00E1436D">
        <w:rPr>
          <w:rFonts w:ascii="Arial" w:hAnsi="Arial" w:cs="Arial"/>
          <w:b/>
          <w:color w:val="000000" w:themeColor="text1"/>
          <w:lang w:val="en-US"/>
        </w:rPr>
        <w:lastRenderedPageBreak/>
        <w:t xml:space="preserve">Application for </w:t>
      </w:r>
      <w:bookmarkEnd w:id="3"/>
      <w:bookmarkEnd w:id="4"/>
      <w:r w:rsidRPr="00E1436D">
        <w:rPr>
          <w:rFonts w:ascii="Arial" w:hAnsi="Arial" w:cs="Arial"/>
          <w:b/>
          <w:color w:val="000000" w:themeColor="text1"/>
          <w:lang w:val="en-US"/>
        </w:rPr>
        <w:t>Exemption from Measures</w:t>
      </w:r>
    </w:p>
    <w:p w14:paraId="15C43F9A" w14:textId="0C8AE06A" w:rsidR="00B265F7" w:rsidRDefault="00DE1884" w:rsidP="00DE1884">
      <w:pPr>
        <w:pStyle w:val="BodyText"/>
        <w:rPr>
          <w:rFonts w:cs="Arial"/>
          <w:color w:val="000000" w:themeColor="text1"/>
          <w:sz w:val="22"/>
          <w:szCs w:val="22"/>
        </w:rPr>
      </w:pPr>
      <w:r w:rsidRPr="007437C3">
        <w:rPr>
          <w:rFonts w:cs="Arial"/>
          <w:color w:val="000000" w:themeColor="text1"/>
          <w:sz w:val="22"/>
          <w:szCs w:val="22"/>
        </w:rPr>
        <w:t xml:space="preserve">On </w:t>
      </w:r>
      <w:r w:rsidR="007912C8">
        <w:rPr>
          <w:rFonts w:cs="Arial"/>
          <w:color w:val="000000" w:themeColor="text1"/>
          <w:sz w:val="22"/>
          <w:szCs w:val="22"/>
        </w:rPr>
        <w:t>5 December 2017</w:t>
      </w:r>
      <w:r w:rsidR="00B265F7" w:rsidRPr="007437C3">
        <w:rPr>
          <w:rFonts w:cs="Arial"/>
          <w:color w:val="000000" w:themeColor="text1"/>
          <w:sz w:val="22"/>
          <w:szCs w:val="22"/>
        </w:rPr>
        <w:t>,</w:t>
      </w:r>
      <w:r w:rsidR="004A4CF1" w:rsidRPr="007437C3">
        <w:rPr>
          <w:rFonts w:cs="Arial"/>
          <w:color w:val="000000" w:themeColor="text1"/>
          <w:sz w:val="22"/>
          <w:szCs w:val="22"/>
        </w:rPr>
        <w:t xml:space="preserve"> </w:t>
      </w:r>
      <w:r w:rsidR="007912C8">
        <w:rPr>
          <w:sz w:val="22"/>
          <w:szCs w:val="22"/>
        </w:rPr>
        <w:t>J.G. Thomas Pty Ltd</w:t>
      </w:r>
      <w:r w:rsidR="007437C3" w:rsidRPr="007437C3">
        <w:rPr>
          <w:sz w:val="22"/>
          <w:szCs w:val="22"/>
        </w:rPr>
        <w:t xml:space="preserve"> </w:t>
      </w:r>
      <w:r w:rsidR="00CC4277" w:rsidRPr="007437C3">
        <w:rPr>
          <w:rFonts w:cs="Arial"/>
          <w:color w:val="000000" w:themeColor="text1"/>
          <w:sz w:val="22"/>
          <w:szCs w:val="22"/>
        </w:rPr>
        <w:t xml:space="preserve">wrote to the Commission </w:t>
      </w:r>
      <w:r w:rsidR="00B265F7" w:rsidRPr="007437C3">
        <w:rPr>
          <w:rFonts w:cs="Arial"/>
          <w:color w:val="000000" w:themeColor="text1"/>
          <w:sz w:val="22"/>
          <w:szCs w:val="22"/>
        </w:rPr>
        <w:t xml:space="preserve">requesting </w:t>
      </w:r>
      <w:r w:rsidR="00956881" w:rsidRPr="007437C3">
        <w:rPr>
          <w:rFonts w:cs="Arial"/>
          <w:color w:val="000000" w:themeColor="text1"/>
          <w:sz w:val="22"/>
          <w:szCs w:val="22"/>
        </w:rPr>
        <w:t xml:space="preserve">an </w:t>
      </w:r>
      <w:r w:rsidR="00B265F7" w:rsidRPr="007437C3">
        <w:rPr>
          <w:rFonts w:cs="Arial"/>
          <w:color w:val="000000" w:themeColor="text1"/>
          <w:sz w:val="22"/>
          <w:szCs w:val="22"/>
        </w:rPr>
        <w:t xml:space="preserve">exemption from </w:t>
      </w:r>
      <w:r w:rsidR="00956881" w:rsidRPr="007437C3">
        <w:rPr>
          <w:rFonts w:cs="Arial"/>
          <w:color w:val="000000" w:themeColor="text1"/>
          <w:sz w:val="22"/>
          <w:szCs w:val="22"/>
        </w:rPr>
        <w:t xml:space="preserve">the </w:t>
      </w:r>
      <w:r w:rsidR="00B265F7" w:rsidRPr="007437C3">
        <w:rPr>
          <w:rFonts w:cs="Arial"/>
          <w:color w:val="000000" w:themeColor="text1"/>
          <w:sz w:val="22"/>
          <w:szCs w:val="22"/>
        </w:rPr>
        <w:t>measures in relation</w:t>
      </w:r>
      <w:r w:rsidR="007437C3">
        <w:rPr>
          <w:rFonts w:cs="Arial"/>
          <w:color w:val="000000" w:themeColor="text1"/>
          <w:sz w:val="22"/>
          <w:szCs w:val="22"/>
        </w:rPr>
        <w:t xml:space="preserve"> to </w:t>
      </w:r>
      <w:r w:rsidR="00B265F7" w:rsidRPr="00C62C35">
        <w:rPr>
          <w:rFonts w:cs="Arial"/>
          <w:color w:val="000000" w:themeColor="text1"/>
          <w:sz w:val="22"/>
          <w:szCs w:val="22"/>
        </w:rPr>
        <w:t xml:space="preserve">imports of </w:t>
      </w:r>
      <w:r w:rsidR="001523E5">
        <w:rPr>
          <w:sz w:val="22"/>
          <w:szCs w:val="22"/>
        </w:rPr>
        <w:t>HSS</w:t>
      </w:r>
      <w:r w:rsidR="00B265F7" w:rsidRPr="00C62C35">
        <w:rPr>
          <w:rFonts w:cs="Arial"/>
          <w:color w:val="000000" w:themeColor="text1"/>
          <w:sz w:val="22"/>
          <w:szCs w:val="22"/>
        </w:rPr>
        <w:t>.</w:t>
      </w:r>
      <w:r w:rsidRPr="00C62C35">
        <w:rPr>
          <w:rFonts w:cs="Arial"/>
          <w:color w:val="000000" w:themeColor="text1"/>
          <w:sz w:val="22"/>
          <w:szCs w:val="22"/>
        </w:rPr>
        <w:t xml:space="preserve"> The Commission </w:t>
      </w:r>
      <w:r w:rsidR="006839AF" w:rsidRPr="00C62C35">
        <w:rPr>
          <w:rFonts w:cs="Arial"/>
          <w:color w:val="000000" w:themeColor="text1"/>
          <w:sz w:val="22"/>
          <w:szCs w:val="22"/>
        </w:rPr>
        <w:t xml:space="preserve">has </w:t>
      </w:r>
      <w:r w:rsidRPr="00C62C35">
        <w:rPr>
          <w:rFonts w:cs="Arial"/>
          <w:color w:val="000000" w:themeColor="text1"/>
          <w:sz w:val="22"/>
          <w:szCs w:val="22"/>
        </w:rPr>
        <w:t xml:space="preserve">accepted </w:t>
      </w:r>
      <w:r w:rsidR="00EA3FA4" w:rsidRPr="00C62C35">
        <w:rPr>
          <w:rFonts w:cs="Arial"/>
          <w:color w:val="000000" w:themeColor="text1"/>
          <w:sz w:val="22"/>
          <w:szCs w:val="22"/>
        </w:rPr>
        <w:t>the application</w:t>
      </w:r>
      <w:r w:rsidRPr="00C62C35">
        <w:rPr>
          <w:rFonts w:cs="Arial"/>
          <w:color w:val="000000" w:themeColor="text1"/>
          <w:sz w:val="22"/>
          <w:szCs w:val="22"/>
        </w:rPr>
        <w:t xml:space="preserve"> and </w:t>
      </w:r>
      <w:r w:rsidR="006839AF" w:rsidRPr="00C62C35">
        <w:rPr>
          <w:rFonts w:cs="Arial"/>
          <w:color w:val="000000" w:themeColor="text1"/>
          <w:sz w:val="22"/>
          <w:szCs w:val="22"/>
        </w:rPr>
        <w:t xml:space="preserve">will now </w:t>
      </w:r>
      <w:r w:rsidRPr="00C62C35">
        <w:rPr>
          <w:rFonts w:cs="Arial"/>
          <w:color w:val="000000" w:themeColor="text1"/>
          <w:sz w:val="22"/>
          <w:szCs w:val="22"/>
        </w:rPr>
        <w:t>undertake an examination of the a</w:t>
      </w:r>
      <w:r w:rsidR="008467A9" w:rsidRPr="00C62C35">
        <w:rPr>
          <w:rFonts w:cs="Arial"/>
          <w:color w:val="000000" w:themeColor="text1"/>
          <w:sz w:val="22"/>
          <w:szCs w:val="22"/>
        </w:rPr>
        <w:t>pplication to determine whether</w:t>
      </w:r>
      <w:r w:rsidRPr="00C62C35">
        <w:rPr>
          <w:rFonts w:cs="Arial"/>
          <w:color w:val="000000" w:themeColor="text1"/>
          <w:sz w:val="22"/>
          <w:szCs w:val="22"/>
        </w:rPr>
        <w:t xml:space="preserve"> </w:t>
      </w:r>
      <w:r w:rsidR="00D505FC" w:rsidRPr="00C62C35">
        <w:rPr>
          <w:rFonts w:cs="Arial"/>
          <w:color w:val="000000" w:themeColor="text1"/>
          <w:sz w:val="22"/>
          <w:szCs w:val="22"/>
        </w:rPr>
        <w:t xml:space="preserve">it should recommend the requested </w:t>
      </w:r>
      <w:r w:rsidRPr="00C62C35">
        <w:rPr>
          <w:rFonts w:cs="Arial"/>
          <w:color w:val="000000" w:themeColor="text1"/>
          <w:sz w:val="22"/>
          <w:szCs w:val="22"/>
        </w:rPr>
        <w:t>exemption</w:t>
      </w:r>
      <w:r w:rsidR="00956881" w:rsidRPr="00C62C35">
        <w:rPr>
          <w:rFonts w:cs="Arial"/>
          <w:color w:val="000000" w:themeColor="text1"/>
          <w:sz w:val="22"/>
          <w:szCs w:val="22"/>
        </w:rPr>
        <w:t xml:space="preserve"> be granted</w:t>
      </w:r>
      <w:r w:rsidRPr="00C62C35">
        <w:rPr>
          <w:rFonts w:cs="Arial"/>
          <w:color w:val="000000" w:themeColor="text1"/>
          <w:sz w:val="22"/>
          <w:szCs w:val="22"/>
        </w:rPr>
        <w:t xml:space="preserve">. </w:t>
      </w:r>
    </w:p>
    <w:p w14:paraId="44A4E8F5" w14:textId="1D4CAB67" w:rsidR="006D66CE" w:rsidRDefault="006D66CE" w:rsidP="006D66CE">
      <w:pPr>
        <w:pStyle w:val="BodyText"/>
        <w:rPr>
          <w:rFonts w:cs="Arial"/>
          <w:color w:val="000000" w:themeColor="text1"/>
          <w:sz w:val="22"/>
          <w:szCs w:val="22"/>
        </w:rPr>
      </w:pPr>
      <w:r>
        <w:rPr>
          <w:rFonts w:cs="Arial"/>
          <w:color w:val="000000" w:themeColor="text1"/>
          <w:sz w:val="22"/>
          <w:szCs w:val="22"/>
        </w:rPr>
        <w:t>The Commission</w:t>
      </w:r>
      <w:r w:rsidRPr="00E26E09">
        <w:rPr>
          <w:rFonts w:cs="Arial"/>
          <w:color w:val="000000" w:themeColor="text1"/>
          <w:sz w:val="22"/>
          <w:szCs w:val="22"/>
        </w:rPr>
        <w:t xml:space="preserve"> </w:t>
      </w:r>
      <w:r>
        <w:rPr>
          <w:rFonts w:cs="Arial"/>
          <w:color w:val="000000" w:themeColor="text1"/>
          <w:sz w:val="22"/>
          <w:szCs w:val="22"/>
        </w:rPr>
        <w:t xml:space="preserve">initially </w:t>
      </w:r>
      <w:r w:rsidRPr="00E26E09">
        <w:rPr>
          <w:rFonts w:cs="Arial"/>
          <w:color w:val="000000" w:themeColor="text1"/>
          <w:sz w:val="22"/>
          <w:szCs w:val="22"/>
        </w:rPr>
        <w:t>assess</w:t>
      </w:r>
      <w:r>
        <w:rPr>
          <w:rFonts w:cs="Arial"/>
          <w:color w:val="000000" w:themeColor="text1"/>
          <w:sz w:val="22"/>
          <w:szCs w:val="22"/>
        </w:rPr>
        <w:t>ed</w:t>
      </w:r>
      <w:r w:rsidRPr="00E26E09">
        <w:rPr>
          <w:rFonts w:cs="Arial"/>
          <w:color w:val="000000" w:themeColor="text1"/>
          <w:sz w:val="22"/>
          <w:szCs w:val="22"/>
        </w:rPr>
        <w:t xml:space="preserve"> the application under the statutory criterion that allows an exemption to be granted if a </w:t>
      </w:r>
      <w:r>
        <w:rPr>
          <w:rFonts w:cs="Arial"/>
          <w:color w:val="000000" w:themeColor="text1"/>
          <w:sz w:val="22"/>
          <w:szCs w:val="22"/>
        </w:rPr>
        <w:t>like or directly competitive goods are not offered for sale in Aus</w:t>
      </w:r>
      <w:r w:rsidR="00621294">
        <w:rPr>
          <w:rFonts w:cs="Arial"/>
          <w:color w:val="000000" w:themeColor="text1"/>
          <w:sz w:val="22"/>
          <w:szCs w:val="22"/>
        </w:rPr>
        <w:t>tralia. This assessment includes</w:t>
      </w:r>
      <w:r>
        <w:rPr>
          <w:rFonts w:cs="Arial"/>
          <w:color w:val="000000" w:themeColor="text1"/>
          <w:sz w:val="22"/>
          <w:szCs w:val="22"/>
        </w:rPr>
        <w:t xml:space="preserve"> seeking the views of Australian industry.</w:t>
      </w:r>
      <w:r w:rsidRPr="00E26E09">
        <w:rPr>
          <w:rFonts w:cs="Arial"/>
          <w:color w:val="000000" w:themeColor="text1"/>
          <w:sz w:val="22"/>
          <w:szCs w:val="22"/>
        </w:rPr>
        <w:t xml:space="preserve">  </w:t>
      </w:r>
    </w:p>
    <w:p w14:paraId="15C43F9B" w14:textId="51D0AA8C" w:rsidR="00B265F7" w:rsidRPr="00DE51A1" w:rsidRDefault="00B265F7" w:rsidP="00E1436D">
      <w:pPr>
        <w:keepNext/>
        <w:numPr>
          <w:ilvl w:val="0"/>
          <w:numId w:val="6"/>
        </w:numPr>
        <w:spacing w:before="240" w:after="120"/>
        <w:rPr>
          <w:rFonts w:ascii="Arial" w:hAnsi="Arial" w:cs="Arial"/>
          <w:b/>
          <w:color w:val="000000" w:themeColor="text1"/>
          <w:lang w:val="en-US"/>
        </w:rPr>
      </w:pPr>
      <w:r w:rsidRPr="00DE51A1">
        <w:rPr>
          <w:rFonts w:ascii="Arial" w:hAnsi="Arial" w:cs="Arial"/>
          <w:b/>
          <w:color w:val="000000" w:themeColor="text1"/>
          <w:lang w:val="en-US"/>
        </w:rPr>
        <w:t xml:space="preserve">Exemption Provision </w:t>
      </w:r>
    </w:p>
    <w:p w14:paraId="3363B1B7" w14:textId="1AD88033" w:rsidR="006D66CE" w:rsidRPr="00FD7F0D" w:rsidRDefault="006D66CE" w:rsidP="00FE4CAC">
      <w:pPr>
        <w:spacing w:after="120"/>
        <w:rPr>
          <w:rFonts w:ascii="Arial" w:hAnsi="Arial" w:cs="Arial"/>
          <w:color w:val="000000" w:themeColor="text1"/>
          <w:sz w:val="22"/>
          <w:szCs w:val="22"/>
        </w:rPr>
      </w:pPr>
      <w:r w:rsidRPr="00FD7F0D">
        <w:rPr>
          <w:rFonts w:ascii="Arial" w:hAnsi="Arial" w:cs="Arial"/>
          <w:color w:val="000000" w:themeColor="text1"/>
          <w:sz w:val="22"/>
          <w:szCs w:val="22"/>
        </w:rPr>
        <w:t xml:space="preserve">The Dumping Duty Act </w:t>
      </w:r>
      <w:r>
        <w:rPr>
          <w:rFonts w:ascii="Arial" w:hAnsi="Arial" w:cs="Arial"/>
          <w:color w:val="000000" w:themeColor="text1"/>
          <w:sz w:val="22"/>
          <w:szCs w:val="22"/>
        </w:rPr>
        <w:t xml:space="preserve">provides a discretion for </w:t>
      </w:r>
      <w:r w:rsidRPr="00FD7F0D">
        <w:rPr>
          <w:rFonts w:ascii="Arial" w:hAnsi="Arial" w:cs="Arial"/>
          <w:color w:val="000000" w:themeColor="text1"/>
          <w:sz w:val="22"/>
          <w:szCs w:val="22"/>
        </w:rPr>
        <w:t>the Minister to exempt goods from dumping and/or countervailing duties</w:t>
      </w:r>
      <w:r>
        <w:rPr>
          <w:rFonts w:ascii="Arial" w:hAnsi="Arial" w:cs="Arial"/>
          <w:color w:val="000000" w:themeColor="text1"/>
          <w:sz w:val="22"/>
          <w:szCs w:val="22"/>
        </w:rPr>
        <w:t xml:space="preserve"> if one of the criteria in subsections 8(7) and 10(8) is met.  The relevant parts of </w:t>
      </w:r>
      <w:r w:rsidRPr="008A60CB">
        <w:rPr>
          <w:rFonts w:ascii="Arial" w:hAnsi="Arial" w:cs="Arial"/>
          <w:color w:val="000000" w:themeColor="text1"/>
          <w:sz w:val="22"/>
          <w:szCs w:val="22"/>
        </w:rPr>
        <w:t xml:space="preserve">subsections 8(7) and 10(8) </w:t>
      </w:r>
      <w:r>
        <w:rPr>
          <w:rFonts w:ascii="Arial" w:hAnsi="Arial" w:cs="Arial"/>
          <w:color w:val="000000" w:themeColor="text1"/>
          <w:sz w:val="22"/>
          <w:szCs w:val="22"/>
        </w:rPr>
        <w:t>for current purposes are set out below.</w:t>
      </w:r>
      <w:r w:rsidRPr="00FD7F0D">
        <w:rPr>
          <w:rFonts w:ascii="Arial" w:hAnsi="Arial" w:cs="Arial"/>
          <w:color w:val="000000" w:themeColor="text1"/>
          <w:sz w:val="22"/>
          <w:szCs w:val="22"/>
        </w:rPr>
        <w:t xml:space="preserve"> </w:t>
      </w:r>
    </w:p>
    <w:p w14:paraId="72C15D19" w14:textId="14E91BAC" w:rsidR="006D66CE" w:rsidRPr="00FD7F0D" w:rsidRDefault="006D66CE" w:rsidP="00FE4CAC">
      <w:pPr>
        <w:spacing w:after="120"/>
        <w:rPr>
          <w:rFonts w:ascii="Arial" w:hAnsi="Arial" w:cs="Arial"/>
          <w:b/>
          <w:color w:val="000000" w:themeColor="text1"/>
          <w:sz w:val="22"/>
          <w:szCs w:val="22"/>
        </w:rPr>
      </w:pPr>
      <w:bookmarkStart w:id="5" w:name="_Ref290108613"/>
      <w:r w:rsidRPr="00FD7F0D">
        <w:rPr>
          <w:rFonts w:ascii="Arial" w:hAnsi="Arial" w:cs="Arial"/>
          <w:b/>
          <w:color w:val="000000" w:themeColor="text1"/>
          <w:sz w:val="22"/>
          <w:szCs w:val="22"/>
        </w:rPr>
        <w:t>Subsection 8(7)</w:t>
      </w:r>
      <w:bookmarkEnd w:id="5"/>
    </w:p>
    <w:p w14:paraId="2BAEA282" w14:textId="364BD60A" w:rsidR="006D66CE" w:rsidRPr="00FD7F0D" w:rsidRDefault="006D66CE" w:rsidP="00FE4CAC">
      <w:pPr>
        <w:spacing w:after="120"/>
        <w:rPr>
          <w:rFonts w:ascii="Arial" w:hAnsi="Arial" w:cs="Arial"/>
          <w:color w:val="000000" w:themeColor="text1"/>
          <w:sz w:val="22"/>
          <w:szCs w:val="22"/>
        </w:rPr>
      </w:pPr>
      <w:r w:rsidRPr="00FD7F0D">
        <w:rPr>
          <w:rFonts w:ascii="Arial" w:hAnsi="Arial" w:cs="Arial"/>
          <w:color w:val="000000" w:themeColor="text1"/>
          <w:sz w:val="22"/>
          <w:szCs w:val="22"/>
        </w:rPr>
        <w:t>The Minister may, by notice in writing, exempt goods from interim dumping duty and dumping duty if he or she is satisfied:</w:t>
      </w:r>
    </w:p>
    <w:p w14:paraId="659D2493" w14:textId="77777777" w:rsidR="006D66CE" w:rsidRPr="00FD7F0D" w:rsidRDefault="006D66CE" w:rsidP="006D66CE">
      <w:pPr>
        <w:numPr>
          <w:ilvl w:val="0"/>
          <w:numId w:val="15"/>
        </w:numPr>
        <w:rPr>
          <w:rFonts w:ascii="Arial" w:hAnsi="Arial" w:cs="Arial"/>
          <w:color w:val="000000" w:themeColor="text1"/>
          <w:sz w:val="22"/>
          <w:szCs w:val="22"/>
        </w:rPr>
      </w:pPr>
      <w:r w:rsidRPr="00FD7F0D">
        <w:rPr>
          <w:rFonts w:ascii="Arial" w:hAnsi="Arial" w:cs="Arial"/>
          <w:color w:val="000000" w:themeColor="text1"/>
          <w:sz w:val="22"/>
          <w:szCs w:val="22"/>
        </w:rPr>
        <w:t>that like or directly competitive goods are not offered for sale in Australia to all purchasers on equal terms under like conditions having regard to the custom and usage of trade;</w:t>
      </w:r>
    </w:p>
    <w:p w14:paraId="4E2B2587" w14:textId="48B0AF33" w:rsidR="006D66CE" w:rsidRPr="00FD7F0D" w:rsidRDefault="006D66CE" w:rsidP="00FE4CAC">
      <w:pPr>
        <w:spacing w:after="120"/>
        <w:ind w:left="760"/>
        <w:rPr>
          <w:rFonts w:ascii="Arial" w:hAnsi="Arial" w:cs="Arial"/>
          <w:color w:val="000000" w:themeColor="text1"/>
          <w:sz w:val="22"/>
          <w:szCs w:val="22"/>
        </w:rPr>
      </w:pPr>
      <w:r>
        <w:rPr>
          <w:rFonts w:ascii="Arial" w:hAnsi="Arial" w:cs="Arial"/>
          <w:color w:val="000000" w:themeColor="text1"/>
          <w:sz w:val="22"/>
          <w:szCs w:val="22"/>
        </w:rPr>
        <w:t>…</w:t>
      </w:r>
    </w:p>
    <w:p w14:paraId="3641CAEB" w14:textId="741FD5BA" w:rsidR="006D66CE" w:rsidRPr="00FD7F0D" w:rsidRDefault="006D66CE" w:rsidP="00FE4CAC">
      <w:pPr>
        <w:spacing w:after="120"/>
        <w:rPr>
          <w:rFonts w:ascii="Arial" w:hAnsi="Arial" w:cs="Arial"/>
          <w:b/>
          <w:color w:val="000000" w:themeColor="text1"/>
          <w:sz w:val="22"/>
          <w:szCs w:val="22"/>
        </w:rPr>
      </w:pPr>
      <w:bookmarkStart w:id="6" w:name="_Ref289078535"/>
      <w:r w:rsidRPr="00FD7F0D">
        <w:rPr>
          <w:rFonts w:ascii="Arial" w:hAnsi="Arial" w:cs="Arial"/>
          <w:b/>
          <w:color w:val="000000" w:themeColor="text1"/>
          <w:sz w:val="22"/>
          <w:szCs w:val="22"/>
        </w:rPr>
        <w:t>Subsection 10(8)</w:t>
      </w:r>
      <w:bookmarkEnd w:id="6"/>
    </w:p>
    <w:p w14:paraId="7EE65B47" w14:textId="4D303665" w:rsidR="006D66CE" w:rsidRPr="00FD7F0D" w:rsidRDefault="006D66CE" w:rsidP="00FE4CAC">
      <w:pPr>
        <w:spacing w:after="120"/>
        <w:rPr>
          <w:rFonts w:ascii="Arial" w:hAnsi="Arial" w:cs="Arial"/>
          <w:color w:val="000000" w:themeColor="text1"/>
          <w:sz w:val="22"/>
          <w:szCs w:val="22"/>
        </w:rPr>
      </w:pPr>
      <w:r w:rsidRPr="00FD7F0D">
        <w:rPr>
          <w:rFonts w:ascii="Arial" w:hAnsi="Arial" w:cs="Arial"/>
          <w:color w:val="000000" w:themeColor="text1"/>
          <w:sz w:val="22"/>
          <w:szCs w:val="22"/>
        </w:rPr>
        <w:t>The Minister may, by notice in writing, exempt goods from interim countervailing duty or countervailing duty if he or she is satisfied:</w:t>
      </w:r>
    </w:p>
    <w:p w14:paraId="6648B790" w14:textId="77777777" w:rsidR="006D66CE" w:rsidRPr="00FD7F0D" w:rsidRDefault="006D66CE" w:rsidP="006D66CE">
      <w:pPr>
        <w:numPr>
          <w:ilvl w:val="0"/>
          <w:numId w:val="18"/>
        </w:numPr>
        <w:rPr>
          <w:rFonts w:ascii="Arial" w:hAnsi="Arial" w:cs="Arial"/>
          <w:color w:val="000000" w:themeColor="text1"/>
          <w:sz w:val="22"/>
          <w:szCs w:val="22"/>
        </w:rPr>
      </w:pPr>
      <w:r w:rsidRPr="00FD7F0D">
        <w:rPr>
          <w:rFonts w:ascii="Arial" w:hAnsi="Arial" w:cs="Arial"/>
          <w:color w:val="000000" w:themeColor="text1"/>
          <w:sz w:val="22"/>
          <w:szCs w:val="22"/>
        </w:rPr>
        <w:t>that like or directly competitive goods are not offered for sale in Australia to all purchasers on equal terms under like conditions having regard to the custom and usage of trade;</w:t>
      </w:r>
    </w:p>
    <w:p w14:paraId="1F17956C" w14:textId="3A2526F1" w:rsidR="006D66CE" w:rsidRDefault="006D66CE" w:rsidP="006D66CE">
      <w:pPr>
        <w:ind w:left="760"/>
        <w:rPr>
          <w:rFonts w:ascii="Arial" w:hAnsi="Arial" w:cs="Arial"/>
          <w:color w:val="000000" w:themeColor="text1"/>
          <w:sz w:val="22"/>
          <w:szCs w:val="22"/>
        </w:rPr>
      </w:pPr>
      <w:r w:rsidRPr="00E3589B">
        <w:rPr>
          <w:rFonts w:ascii="Arial" w:hAnsi="Arial" w:cs="Arial"/>
          <w:color w:val="000000" w:themeColor="text1"/>
          <w:sz w:val="22"/>
          <w:szCs w:val="22"/>
        </w:rPr>
        <w:t>…</w:t>
      </w:r>
    </w:p>
    <w:p w14:paraId="15C43FAB" w14:textId="39F3170E" w:rsidR="00B265F7" w:rsidRPr="00FE4CAC" w:rsidRDefault="006D66CE" w:rsidP="00FE4CAC">
      <w:pPr>
        <w:spacing w:after="240"/>
        <w:rPr>
          <w:rFonts w:ascii="Arial" w:hAnsi="Arial" w:cs="Arial"/>
          <w:color w:val="000000" w:themeColor="text1"/>
          <w:sz w:val="22"/>
          <w:szCs w:val="22"/>
        </w:rPr>
      </w:pPr>
      <w:r>
        <w:rPr>
          <w:rFonts w:ascii="Arial" w:hAnsi="Arial" w:cs="Arial"/>
          <w:color w:val="000000" w:themeColor="text1"/>
          <w:sz w:val="22"/>
          <w:szCs w:val="22"/>
        </w:rPr>
        <w:t>T</w:t>
      </w:r>
      <w:r w:rsidRPr="00FD7F0D">
        <w:rPr>
          <w:rFonts w:ascii="Arial" w:hAnsi="Arial" w:cs="Arial"/>
          <w:color w:val="000000" w:themeColor="text1"/>
          <w:sz w:val="22"/>
          <w:szCs w:val="22"/>
        </w:rPr>
        <w:t xml:space="preserve">he exemption provisions are subject to the discretion of the Parliamentary Secretary and </w:t>
      </w:r>
      <w:r>
        <w:rPr>
          <w:rFonts w:ascii="Arial" w:hAnsi="Arial" w:cs="Arial"/>
          <w:color w:val="000000" w:themeColor="text1"/>
          <w:sz w:val="22"/>
          <w:szCs w:val="22"/>
        </w:rPr>
        <w:t xml:space="preserve">an exemption is </w:t>
      </w:r>
      <w:r w:rsidRPr="00FD7F0D">
        <w:rPr>
          <w:rFonts w:ascii="Arial" w:hAnsi="Arial" w:cs="Arial"/>
          <w:color w:val="000000" w:themeColor="text1"/>
          <w:sz w:val="22"/>
          <w:szCs w:val="22"/>
        </w:rPr>
        <w:t>not automatically granted</w:t>
      </w:r>
      <w:r>
        <w:rPr>
          <w:rFonts w:ascii="Arial" w:hAnsi="Arial" w:cs="Arial"/>
          <w:color w:val="000000" w:themeColor="text1"/>
          <w:sz w:val="22"/>
          <w:szCs w:val="22"/>
        </w:rPr>
        <w:t>, even</w:t>
      </w:r>
      <w:r w:rsidRPr="00FD7F0D">
        <w:rPr>
          <w:rFonts w:ascii="Arial" w:hAnsi="Arial" w:cs="Arial"/>
          <w:color w:val="000000" w:themeColor="text1"/>
          <w:sz w:val="22"/>
          <w:szCs w:val="22"/>
        </w:rPr>
        <w:t xml:space="preserve"> where </w:t>
      </w:r>
      <w:r>
        <w:rPr>
          <w:rFonts w:ascii="Arial" w:hAnsi="Arial" w:cs="Arial"/>
          <w:color w:val="000000" w:themeColor="text1"/>
          <w:sz w:val="22"/>
          <w:szCs w:val="22"/>
        </w:rPr>
        <w:t xml:space="preserve">one of </w:t>
      </w:r>
      <w:r w:rsidRPr="00FD7F0D">
        <w:rPr>
          <w:rFonts w:ascii="Arial" w:hAnsi="Arial" w:cs="Arial"/>
          <w:color w:val="000000" w:themeColor="text1"/>
          <w:sz w:val="22"/>
          <w:szCs w:val="22"/>
        </w:rPr>
        <w:t>the criteria in the provision</w:t>
      </w:r>
      <w:r>
        <w:rPr>
          <w:rFonts w:ascii="Arial" w:hAnsi="Arial" w:cs="Arial"/>
          <w:color w:val="000000" w:themeColor="text1"/>
          <w:sz w:val="22"/>
          <w:szCs w:val="22"/>
        </w:rPr>
        <w:t>s</w:t>
      </w:r>
      <w:r w:rsidRPr="00FD7F0D">
        <w:rPr>
          <w:rFonts w:ascii="Arial" w:hAnsi="Arial" w:cs="Arial"/>
          <w:color w:val="000000" w:themeColor="text1"/>
          <w:sz w:val="22"/>
          <w:szCs w:val="22"/>
        </w:rPr>
        <w:t xml:space="preserve"> </w:t>
      </w:r>
      <w:r>
        <w:rPr>
          <w:rFonts w:ascii="Arial" w:hAnsi="Arial" w:cs="Arial"/>
          <w:color w:val="000000" w:themeColor="text1"/>
          <w:sz w:val="22"/>
          <w:szCs w:val="22"/>
        </w:rPr>
        <w:t xml:space="preserve">is </w:t>
      </w:r>
      <w:r w:rsidRPr="00FD7F0D">
        <w:rPr>
          <w:rFonts w:ascii="Arial" w:hAnsi="Arial" w:cs="Arial"/>
          <w:color w:val="000000" w:themeColor="text1"/>
          <w:sz w:val="22"/>
          <w:szCs w:val="22"/>
        </w:rPr>
        <w:t xml:space="preserve">met. </w:t>
      </w:r>
    </w:p>
    <w:p w14:paraId="1F40ED65" w14:textId="02D2C23D" w:rsidR="007F5EC5" w:rsidRPr="00FE4CAC" w:rsidRDefault="00B265F7" w:rsidP="00FE4CAC">
      <w:pPr>
        <w:numPr>
          <w:ilvl w:val="0"/>
          <w:numId w:val="6"/>
        </w:numPr>
        <w:spacing w:after="120"/>
        <w:rPr>
          <w:rFonts w:ascii="Arial" w:hAnsi="Arial" w:cs="Arial"/>
          <w:b/>
          <w:color w:val="000000" w:themeColor="text1"/>
          <w:lang w:val="en-US"/>
        </w:rPr>
      </w:pPr>
      <w:r w:rsidRPr="00DE51A1">
        <w:rPr>
          <w:rFonts w:ascii="Arial" w:hAnsi="Arial" w:cs="Arial"/>
          <w:b/>
          <w:color w:val="000000" w:themeColor="text1"/>
          <w:lang w:val="en-US"/>
        </w:rPr>
        <w:t xml:space="preserve">The goods subject to the exemption application </w:t>
      </w:r>
    </w:p>
    <w:p w14:paraId="437577B1" w14:textId="331F9A44" w:rsidR="007F5EC5" w:rsidRPr="007F5EC5" w:rsidRDefault="007F5EC5" w:rsidP="00FE4CAC">
      <w:pPr>
        <w:spacing w:after="120"/>
        <w:rPr>
          <w:rFonts w:ascii="Arial" w:hAnsi="Arial" w:cs="Arial"/>
          <w:sz w:val="22"/>
          <w:szCs w:val="22"/>
        </w:rPr>
      </w:pPr>
      <w:r w:rsidRPr="007F5EC5">
        <w:rPr>
          <w:rFonts w:ascii="Arial" w:hAnsi="Arial" w:cs="Arial"/>
          <w:sz w:val="22"/>
          <w:szCs w:val="22"/>
        </w:rPr>
        <w:t>The goods the subject of the exemption inquiry are described by the applicant as:</w:t>
      </w:r>
    </w:p>
    <w:p w14:paraId="6A552F30" w14:textId="32DD36DE" w:rsidR="00D47109" w:rsidRPr="00A958B5" w:rsidRDefault="00D47109" w:rsidP="00D47109">
      <w:pPr>
        <w:pStyle w:val="ListParagraph"/>
        <w:numPr>
          <w:ilvl w:val="0"/>
          <w:numId w:val="42"/>
        </w:numPr>
        <w:spacing w:after="240"/>
      </w:pPr>
      <w:r w:rsidRPr="00A958B5">
        <w:t xml:space="preserve">Circular hollow steel conduit pipe that has been manufactured through an electric resistance welding process, in pre-galvanised or hot dipped galvanised finish, and meeting specifications required by Australian Standard AS/NZS 61386.21.  Wall thickness ranging from 1.6mm to 3.0mm, with a length of 3 to 4 metres, Outside Diameters of 25mm, 32mm, 40mm, 50mm and 63mm, both ends threaded to AS/NZS 61386.21 clause 8.203.3 and supplied with coupling on one end.  The conduit to be marked with Standard and Size.  </w:t>
      </w:r>
    </w:p>
    <w:p w14:paraId="76FD3671" w14:textId="77777777" w:rsidR="00D47109" w:rsidRDefault="00D47109" w:rsidP="00D47109">
      <w:pPr>
        <w:pStyle w:val="ListParagraph"/>
        <w:ind w:left="1080"/>
      </w:pPr>
    </w:p>
    <w:p w14:paraId="3353BB70" w14:textId="54A8FFA5" w:rsidR="00236AC3" w:rsidRPr="00FE4CAC" w:rsidRDefault="005F67D8" w:rsidP="00FE4CAC">
      <w:pPr>
        <w:autoSpaceDE w:val="0"/>
        <w:autoSpaceDN w:val="0"/>
        <w:adjustRightInd w:val="0"/>
        <w:spacing w:after="240"/>
        <w:rPr>
          <w:rFonts w:ascii="Arial" w:hAnsi="Arial" w:cs="Arial"/>
          <w:sz w:val="22"/>
          <w:szCs w:val="22"/>
          <w:lang w:val="en-US"/>
        </w:rPr>
      </w:pPr>
      <w:r>
        <w:rPr>
          <w:rFonts w:ascii="Arial" w:hAnsi="Arial" w:cs="Arial"/>
          <w:sz w:val="22"/>
          <w:szCs w:val="22"/>
          <w:lang w:val="en-US"/>
        </w:rPr>
        <w:t>The application is on the grounds that no Australian steel mill currently manufacture</w:t>
      </w:r>
      <w:r w:rsidR="007912C8">
        <w:rPr>
          <w:rFonts w:ascii="Arial" w:hAnsi="Arial" w:cs="Arial"/>
          <w:sz w:val="22"/>
          <w:szCs w:val="22"/>
          <w:lang w:val="en-US"/>
        </w:rPr>
        <w:t>s steel conduit for electrical purposes that meets AS/NZS 616386.21</w:t>
      </w:r>
      <w:r>
        <w:rPr>
          <w:rFonts w:ascii="Arial" w:hAnsi="Arial" w:cs="Arial"/>
          <w:sz w:val="22"/>
          <w:szCs w:val="22"/>
          <w:lang w:val="en-US"/>
        </w:rPr>
        <w:t xml:space="preserve">. </w:t>
      </w:r>
    </w:p>
    <w:p w14:paraId="15C43FB2" w14:textId="77777777" w:rsidR="00B265F7" w:rsidRPr="006471C4" w:rsidRDefault="00B265F7" w:rsidP="00B265F7">
      <w:pPr>
        <w:numPr>
          <w:ilvl w:val="0"/>
          <w:numId w:val="6"/>
        </w:numPr>
        <w:rPr>
          <w:rFonts w:ascii="Arial" w:hAnsi="Arial" w:cs="Arial"/>
          <w:b/>
          <w:lang w:val="en-US"/>
        </w:rPr>
      </w:pPr>
      <w:r w:rsidRPr="006471C4">
        <w:rPr>
          <w:rFonts w:ascii="Arial" w:hAnsi="Arial" w:cs="Arial"/>
          <w:b/>
          <w:lang w:val="en-US"/>
        </w:rPr>
        <w:lastRenderedPageBreak/>
        <w:t xml:space="preserve">Instructions on </w:t>
      </w:r>
      <w:r w:rsidR="00E914BE">
        <w:rPr>
          <w:rFonts w:ascii="Arial" w:hAnsi="Arial" w:cs="Arial"/>
          <w:b/>
          <w:lang w:val="en-US"/>
        </w:rPr>
        <w:t>c</w:t>
      </w:r>
      <w:r w:rsidRPr="006471C4">
        <w:rPr>
          <w:rFonts w:ascii="Arial" w:hAnsi="Arial" w:cs="Arial"/>
          <w:b/>
          <w:lang w:val="en-US"/>
        </w:rPr>
        <w:t xml:space="preserve">ompleting this ‘Response to the Exemption Application’ </w:t>
      </w:r>
    </w:p>
    <w:p w14:paraId="15C43FB3" w14:textId="4BB026EC" w:rsidR="00B265F7" w:rsidRPr="00DE51A1" w:rsidRDefault="0053356F" w:rsidP="002E3E03">
      <w:pPr>
        <w:pStyle w:val="BodyText2"/>
        <w:spacing w:before="120" w:line="240" w:lineRule="auto"/>
        <w:rPr>
          <w:color w:val="000000" w:themeColor="text1"/>
          <w:sz w:val="22"/>
          <w:szCs w:val="22"/>
        </w:rPr>
      </w:pPr>
      <w:r w:rsidRPr="00DE51A1">
        <w:rPr>
          <w:color w:val="000000" w:themeColor="text1"/>
          <w:sz w:val="22"/>
          <w:szCs w:val="22"/>
        </w:rPr>
        <w:t xml:space="preserve">The Commission’s </w:t>
      </w:r>
      <w:r w:rsidR="00DD6F2B">
        <w:rPr>
          <w:color w:val="000000" w:themeColor="text1"/>
          <w:sz w:val="22"/>
          <w:szCs w:val="22"/>
        </w:rPr>
        <w:t xml:space="preserve">original </w:t>
      </w:r>
      <w:r w:rsidR="00B265F7" w:rsidRPr="00DE51A1">
        <w:rPr>
          <w:color w:val="000000" w:themeColor="text1"/>
          <w:sz w:val="22"/>
          <w:szCs w:val="22"/>
        </w:rPr>
        <w:t>investigation</w:t>
      </w:r>
      <w:r w:rsidR="00E66AAE" w:rsidRPr="00DE51A1">
        <w:rPr>
          <w:color w:val="000000" w:themeColor="text1"/>
          <w:sz w:val="22"/>
          <w:szCs w:val="22"/>
        </w:rPr>
        <w:t xml:space="preserve"> </w:t>
      </w:r>
      <w:r w:rsidRPr="00DE51A1">
        <w:rPr>
          <w:color w:val="000000" w:themeColor="text1"/>
          <w:sz w:val="22"/>
          <w:szCs w:val="22"/>
        </w:rPr>
        <w:t xml:space="preserve">identified </w:t>
      </w:r>
      <w:r w:rsidR="00255249" w:rsidRPr="00DE51A1">
        <w:rPr>
          <w:color w:val="000000" w:themeColor="text1"/>
          <w:sz w:val="22"/>
          <w:szCs w:val="22"/>
        </w:rPr>
        <w:t>your company</w:t>
      </w:r>
      <w:r w:rsidRPr="00DE51A1">
        <w:rPr>
          <w:color w:val="000000" w:themeColor="text1"/>
          <w:sz w:val="22"/>
          <w:szCs w:val="22"/>
        </w:rPr>
        <w:t xml:space="preserve"> as </w:t>
      </w:r>
      <w:r w:rsidR="00255249" w:rsidRPr="00DE51A1">
        <w:rPr>
          <w:color w:val="000000" w:themeColor="text1"/>
          <w:sz w:val="22"/>
          <w:szCs w:val="22"/>
        </w:rPr>
        <w:t>an</w:t>
      </w:r>
      <w:r w:rsidRPr="00DE51A1">
        <w:rPr>
          <w:color w:val="000000" w:themeColor="text1"/>
          <w:sz w:val="22"/>
          <w:szCs w:val="22"/>
        </w:rPr>
        <w:t xml:space="preserve"> </w:t>
      </w:r>
      <w:r w:rsidR="00B265F7" w:rsidRPr="00DE51A1">
        <w:rPr>
          <w:color w:val="000000" w:themeColor="text1"/>
          <w:sz w:val="22"/>
          <w:szCs w:val="22"/>
        </w:rPr>
        <w:t xml:space="preserve">Australian producer </w:t>
      </w:r>
      <w:r w:rsidR="00B265F7" w:rsidRPr="00A15DC1">
        <w:rPr>
          <w:color w:val="000000" w:themeColor="text1"/>
          <w:sz w:val="22"/>
          <w:szCs w:val="22"/>
        </w:rPr>
        <w:t xml:space="preserve">of </w:t>
      </w:r>
      <w:r w:rsidR="00FE4CAC">
        <w:rPr>
          <w:sz w:val="22"/>
          <w:szCs w:val="22"/>
        </w:rPr>
        <w:t>HSS</w:t>
      </w:r>
      <w:r w:rsidR="007F1B71" w:rsidRPr="00A15DC1">
        <w:rPr>
          <w:color w:val="000000" w:themeColor="text1"/>
          <w:sz w:val="22"/>
          <w:szCs w:val="22"/>
        </w:rPr>
        <w:t>.</w:t>
      </w:r>
      <w:r w:rsidR="007F1B71" w:rsidRPr="00DE51A1">
        <w:rPr>
          <w:color w:val="000000" w:themeColor="text1"/>
          <w:sz w:val="22"/>
          <w:szCs w:val="22"/>
        </w:rPr>
        <w:t xml:space="preserve"> </w:t>
      </w:r>
    </w:p>
    <w:p w14:paraId="15C43FB4" w14:textId="77777777" w:rsidR="00B265F7" w:rsidRPr="00DE51A1" w:rsidRDefault="00B265F7" w:rsidP="002E3E03">
      <w:pPr>
        <w:pStyle w:val="BodyText2"/>
        <w:spacing w:before="120" w:line="240" w:lineRule="auto"/>
        <w:rPr>
          <w:color w:val="000000" w:themeColor="text1"/>
          <w:sz w:val="22"/>
          <w:szCs w:val="22"/>
        </w:rPr>
      </w:pPr>
      <w:r w:rsidRPr="00DE51A1">
        <w:rPr>
          <w:color w:val="000000" w:themeColor="text1"/>
          <w:sz w:val="22"/>
          <w:szCs w:val="22"/>
        </w:rPr>
        <w:t xml:space="preserve">Consequently, </w:t>
      </w:r>
      <w:r w:rsidR="00811AC1" w:rsidRPr="00DE51A1">
        <w:rPr>
          <w:color w:val="000000" w:themeColor="text1"/>
          <w:sz w:val="22"/>
          <w:szCs w:val="22"/>
        </w:rPr>
        <w:t xml:space="preserve">the </w:t>
      </w:r>
      <w:r w:rsidR="003F7785" w:rsidRPr="00DE51A1">
        <w:rPr>
          <w:color w:val="000000" w:themeColor="text1"/>
          <w:sz w:val="22"/>
          <w:szCs w:val="22"/>
        </w:rPr>
        <w:t>Commission</w:t>
      </w:r>
      <w:r w:rsidRPr="00DE51A1">
        <w:rPr>
          <w:color w:val="000000" w:themeColor="text1"/>
          <w:sz w:val="22"/>
          <w:szCs w:val="22"/>
        </w:rPr>
        <w:t xml:space="preserve"> has forwarded you this ‘response to exemption application’ (the response) to provide you with the opportunity to participate in this exemption inquiry. </w:t>
      </w:r>
    </w:p>
    <w:p w14:paraId="15C43FB5" w14:textId="32E0DB77" w:rsidR="00B265F7" w:rsidRPr="002E3E03" w:rsidRDefault="00CE2207" w:rsidP="002E3E03">
      <w:pPr>
        <w:pStyle w:val="BodyText"/>
        <w:rPr>
          <w:rFonts w:cs="Arial"/>
          <w:color w:val="000000" w:themeColor="text1"/>
          <w:sz w:val="22"/>
          <w:szCs w:val="22"/>
        </w:rPr>
      </w:pPr>
      <w:r w:rsidRPr="00DE51A1">
        <w:rPr>
          <w:color w:val="000000" w:themeColor="text1"/>
          <w:sz w:val="22"/>
          <w:szCs w:val="22"/>
        </w:rPr>
        <w:t xml:space="preserve">The </w:t>
      </w:r>
      <w:r w:rsidR="003F7785" w:rsidRPr="00DE51A1">
        <w:rPr>
          <w:color w:val="000000" w:themeColor="text1"/>
          <w:sz w:val="22"/>
          <w:szCs w:val="22"/>
        </w:rPr>
        <w:t>Commission</w:t>
      </w:r>
      <w:r w:rsidR="00B265F7" w:rsidRPr="00DE51A1">
        <w:rPr>
          <w:color w:val="000000" w:themeColor="text1"/>
          <w:sz w:val="22"/>
          <w:szCs w:val="22"/>
        </w:rPr>
        <w:t xml:space="preserve"> will use the information provided by Australian producers to determine</w:t>
      </w:r>
      <w:r w:rsidR="00292A7F" w:rsidRPr="00DE51A1">
        <w:rPr>
          <w:color w:val="000000" w:themeColor="text1"/>
          <w:sz w:val="22"/>
          <w:szCs w:val="22"/>
        </w:rPr>
        <w:t xml:space="preserve"> </w:t>
      </w:r>
      <w:r w:rsidR="00236AC3">
        <w:rPr>
          <w:color w:val="000000" w:themeColor="text1"/>
          <w:sz w:val="22"/>
          <w:szCs w:val="22"/>
        </w:rPr>
        <w:t>whether like or directly competitive goods are offered for sale in Aust</w:t>
      </w:r>
      <w:r w:rsidR="00610090">
        <w:rPr>
          <w:color w:val="000000" w:themeColor="text1"/>
          <w:sz w:val="22"/>
          <w:szCs w:val="22"/>
        </w:rPr>
        <w:t>r</w:t>
      </w:r>
      <w:r w:rsidR="00236AC3">
        <w:rPr>
          <w:color w:val="000000" w:themeColor="text1"/>
          <w:sz w:val="22"/>
          <w:szCs w:val="22"/>
        </w:rPr>
        <w:t>alia, and whether offers for sale of the goods are available to all purchasers on equal terms under like conditions having regard to custom and usage of trade</w:t>
      </w:r>
      <w:r w:rsidR="001A7D1F" w:rsidRPr="00DE51A1">
        <w:rPr>
          <w:rFonts w:cs="Arial"/>
          <w:color w:val="000000" w:themeColor="text1"/>
          <w:sz w:val="22"/>
          <w:szCs w:val="22"/>
        </w:rPr>
        <w:t>.</w:t>
      </w:r>
    </w:p>
    <w:p w14:paraId="15C43FB6" w14:textId="77777777" w:rsidR="00B265F7" w:rsidRPr="002E3E03" w:rsidRDefault="00B265F7" w:rsidP="002E3E03">
      <w:pPr>
        <w:keepNext/>
        <w:rPr>
          <w:rFonts w:ascii="Arial" w:hAnsi="Arial" w:cs="Arial"/>
          <w:sz w:val="22"/>
          <w:szCs w:val="22"/>
        </w:rPr>
      </w:pPr>
      <w:r w:rsidRPr="006471C4">
        <w:rPr>
          <w:rFonts w:ascii="Arial" w:hAnsi="Arial" w:cs="Arial"/>
          <w:b/>
          <w:sz w:val="22"/>
          <w:szCs w:val="22"/>
        </w:rPr>
        <w:t xml:space="preserve">Due date for </w:t>
      </w:r>
      <w:r w:rsidR="00DD6F2B">
        <w:rPr>
          <w:rFonts w:ascii="Arial" w:hAnsi="Arial" w:cs="Arial"/>
          <w:b/>
          <w:sz w:val="22"/>
          <w:szCs w:val="22"/>
        </w:rPr>
        <w:t xml:space="preserve">the </w:t>
      </w:r>
      <w:r w:rsidRPr="006471C4">
        <w:rPr>
          <w:rFonts w:ascii="Arial" w:hAnsi="Arial" w:cs="Arial"/>
          <w:b/>
          <w:sz w:val="22"/>
          <w:szCs w:val="22"/>
        </w:rPr>
        <w:t>response</w:t>
      </w:r>
    </w:p>
    <w:p w14:paraId="15C43FB7" w14:textId="3F87B33B" w:rsidR="001A7D1F" w:rsidRPr="007E5D8B" w:rsidRDefault="00DD6F2B" w:rsidP="002E3E03">
      <w:pPr>
        <w:spacing w:before="120" w:after="120"/>
        <w:rPr>
          <w:rFonts w:ascii="Arial" w:hAnsi="Arial" w:cs="Arial"/>
          <w:snapToGrid w:val="0"/>
          <w:sz w:val="22"/>
          <w:szCs w:val="22"/>
        </w:rPr>
      </w:pPr>
      <w:r>
        <w:rPr>
          <w:rFonts w:ascii="Arial" w:hAnsi="Arial" w:cs="Arial"/>
          <w:snapToGrid w:val="0"/>
          <w:sz w:val="22"/>
          <w:szCs w:val="22"/>
        </w:rPr>
        <w:t>We request</w:t>
      </w:r>
      <w:r w:rsidR="00B265F7" w:rsidRPr="006471C4">
        <w:rPr>
          <w:rFonts w:ascii="Arial" w:hAnsi="Arial" w:cs="Arial"/>
          <w:snapToGrid w:val="0"/>
          <w:sz w:val="22"/>
          <w:szCs w:val="22"/>
        </w:rPr>
        <w:t xml:space="preserve"> </w:t>
      </w:r>
      <w:r>
        <w:rPr>
          <w:rFonts w:ascii="Arial" w:hAnsi="Arial" w:cs="Arial"/>
          <w:snapToGrid w:val="0"/>
          <w:sz w:val="22"/>
          <w:szCs w:val="22"/>
        </w:rPr>
        <w:t xml:space="preserve">that you </w:t>
      </w:r>
      <w:r w:rsidR="00B265F7" w:rsidRPr="006471C4">
        <w:rPr>
          <w:rFonts w:ascii="Arial" w:hAnsi="Arial" w:cs="Arial"/>
          <w:snapToGrid w:val="0"/>
          <w:sz w:val="22"/>
          <w:szCs w:val="22"/>
        </w:rPr>
        <w:t>co</w:t>
      </w:r>
      <w:r w:rsidR="00B265F7" w:rsidRPr="00205D37">
        <w:rPr>
          <w:rFonts w:ascii="Arial" w:hAnsi="Arial" w:cs="Arial"/>
          <w:snapToGrid w:val="0"/>
          <w:sz w:val="22"/>
          <w:szCs w:val="22"/>
        </w:rPr>
        <w:t xml:space="preserve">mplete </w:t>
      </w:r>
      <w:r w:rsidR="001A7D1F" w:rsidRPr="00205D37">
        <w:rPr>
          <w:rFonts w:ascii="Arial" w:hAnsi="Arial" w:cs="Arial"/>
          <w:snapToGrid w:val="0"/>
          <w:sz w:val="22"/>
          <w:szCs w:val="22"/>
        </w:rPr>
        <w:t>your</w:t>
      </w:r>
      <w:r w:rsidR="00B265F7" w:rsidRPr="00205D37">
        <w:rPr>
          <w:rFonts w:ascii="Arial" w:hAnsi="Arial" w:cs="Arial"/>
          <w:snapToGrid w:val="0"/>
          <w:sz w:val="22"/>
          <w:szCs w:val="22"/>
        </w:rPr>
        <w:t xml:space="preserve"> response and return it to </w:t>
      </w:r>
      <w:r w:rsidR="001A7D1F" w:rsidRPr="00205D37">
        <w:rPr>
          <w:rFonts w:ascii="Arial" w:hAnsi="Arial" w:cs="Arial"/>
          <w:snapToGrid w:val="0"/>
          <w:sz w:val="22"/>
          <w:szCs w:val="22"/>
        </w:rPr>
        <w:t xml:space="preserve">the </w:t>
      </w:r>
      <w:r w:rsidR="003F7785" w:rsidRPr="00205D37">
        <w:rPr>
          <w:rFonts w:ascii="Arial" w:hAnsi="Arial" w:cs="Arial"/>
          <w:snapToGrid w:val="0"/>
          <w:sz w:val="22"/>
          <w:szCs w:val="22"/>
        </w:rPr>
        <w:t>Commission</w:t>
      </w:r>
      <w:r w:rsidR="00B265F7" w:rsidRPr="00205D37">
        <w:rPr>
          <w:rFonts w:ascii="Arial" w:hAnsi="Arial" w:cs="Arial"/>
          <w:snapToGrid w:val="0"/>
          <w:sz w:val="22"/>
          <w:szCs w:val="22"/>
        </w:rPr>
        <w:t xml:space="preserve"> by</w:t>
      </w:r>
      <w:r w:rsidR="002458EA">
        <w:rPr>
          <w:rFonts w:ascii="Arial" w:hAnsi="Arial" w:cs="Arial"/>
          <w:snapToGrid w:val="0"/>
          <w:sz w:val="22"/>
          <w:szCs w:val="22"/>
        </w:rPr>
        <w:t xml:space="preserve"> </w:t>
      </w:r>
      <w:r w:rsidR="002458EA" w:rsidRPr="002458EA">
        <w:rPr>
          <w:rFonts w:ascii="Arial" w:hAnsi="Arial" w:cs="Arial"/>
          <w:snapToGrid w:val="0"/>
          <w:sz w:val="22"/>
          <w:szCs w:val="22"/>
        </w:rPr>
        <w:t xml:space="preserve">no later than the close of business </w:t>
      </w:r>
      <w:r w:rsidR="002458EA" w:rsidRPr="007E5D8B">
        <w:rPr>
          <w:rFonts w:ascii="Arial" w:hAnsi="Arial" w:cs="Arial"/>
          <w:snapToGrid w:val="0"/>
          <w:sz w:val="22"/>
          <w:szCs w:val="22"/>
        </w:rPr>
        <w:t>on</w:t>
      </w:r>
      <w:r w:rsidR="00B265F7" w:rsidRPr="007E5D8B">
        <w:rPr>
          <w:rFonts w:ascii="Arial" w:hAnsi="Arial" w:cs="Arial"/>
          <w:snapToGrid w:val="0"/>
          <w:sz w:val="22"/>
          <w:szCs w:val="22"/>
        </w:rPr>
        <w:t xml:space="preserve"> </w:t>
      </w:r>
      <w:r w:rsidR="00D47109">
        <w:rPr>
          <w:rFonts w:ascii="Arial" w:hAnsi="Arial" w:cs="Arial"/>
          <w:b/>
          <w:snapToGrid w:val="0"/>
          <w:sz w:val="22"/>
          <w:szCs w:val="22"/>
        </w:rPr>
        <w:t>2</w:t>
      </w:r>
      <w:r w:rsidR="0030117A">
        <w:rPr>
          <w:rFonts w:ascii="Arial" w:hAnsi="Arial" w:cs="Arial"/>
          <w:b/>
          <w:snapToGrid w:val="0"/>
          <w:sz w:val="22"/>
          <w:szCs w:val="22"/>
        </w:rPr>
        <w:t>9</w:t>
      </w:r>
      <w:r w:rsidR="00D47109">
        <w:rPr>
          <w:rFonts w:ascii="Arial" w:hAnsi="Arial" w:cs="Arial"/>
          <w:b/>
          <w:snapToGrid w:val="0"/>
          <w:sz w:val="22"/>
          <w:szCs w:val="22"/>
        </w:rPr>
        <w:t xml:space="preserve"> April</w:t>
      </w:r>
      <w:r w:rsidR="00974FB4">
        <w:rPr>
          <w:rFonts w:ascii="Arial" w:hAnsi="Arial" w:cs="Arial"/>
          <w:b/>
          <w:snapToGrid w:val="0"/>
          <w:sz w:val="22"/>
          <w:szCs w:val="22"/>
        </w:rPr>
        <w:t xml:space="preserve"> 2018</w:t>
      </w:r>
      <w:r w:rsidR="00956881" w:rsidRPr="0025191F">
        <w:rPr>
          <w:rFonts w:ascii="Arial" w:hAnsi="Arial" w:cs="Arial"/>
          <w:b/>
          <w:snapToGrid w:val="0"/>
          <w:sz w:val="22"/>
          <w:szCs w:val="22"/>
        </w:rPr>
        <w:t>.</w:t>
      </w:r>
      <w:r w:rsidR="00956881" w:rsidRPr="007E5D8B" w:rsidDel="00956881">
        <w:rPr>
          <w:rFonts w:ascii="Arial" w:hAnsi="Arial" w:cs="Arial"/>
          <w:b/>
          <w:snapToGrid w:val="0"/>
          <w:sz w:val="22"/>
          <w:szCs w:val="22"/>
        </w:rPr>
        <w:t xml:space="preserve"> </w:t>
      </w:r>
    </w:p>
    <w:p w14:paraId="15C43FB9" w14:textId="64124812" w:rsidR="00B265F7" w:rsidRPr="00FE4CAC" w:rsidRDefault="00B265F7" w:rsidP="00FE4CAC">
      <w:pPr>
        <w:spacing w:after="120"/>
        <w:rPr>
          <w:rFonts w:ascii="Arial" w:hAnsi="Arial" w:cs="Arial"/>
          <w:sz w:val="22"/>
          <w:szCs w:val="22"/>
        </w:rPr>
      </w:pPr>
      <w:r w:rsidRPr="006471C4">
        <w:rPr>
          <w:rFonts w:ascii="Arial" w:hAnsi="Arial" w:cs="Arial"/>
          <w:sz w:val="22"/>
          <w:szCs w:val="22"/>
        </w:rPr>
        <w:t>Responses may be lodged either by mail or by email to the following.</w:t>
      </w:r>
    </w:p>
    <w:p w14:paraId="0BA5F145" w14:textId="77777777" w:rsidR="00102439" w:rsidRPr="00102439" w:rsidRDefault="00102439" w:rsidP="00102439">
      <w:pPr>
        <w:ind w:left="1440"/>
        <w:rPr>
          <w:rFonts w:ascii="Arial" w:hAnsi="Arial" w:cs="Arial"/>
          <w:color w:val="000000" w:themeColor="text1"/>
          <w:sz w:val="22"/>
          <w:szCs w:val="22"/>
          <w:lang w:val="en-US"/>
        </w:rPr>
      </w:pPr>
      <w:r w:rsidRPr="00102439">
        <w:rPr>
          <w:rFonts w:ascii="Arial" w:hAnsi="Arial" w:cs="Arial"/>
          <w:color w:val="000000" w:themeColor="text1"/>
          <w:sz w:val="22"/>
          <w:szCs w:val="22"/>
          <w:lang w:val="en-US"/>
        </w:rPr>
        <w:t>The Director</w:t>
      </w:r>
    </w:p>
    <w:p w14:paraId="7825AB9F" w14:textId="2137E576" w:rsidR="00102439" w:rsidRPr="00102439" w:rsidRDefault="00053520" w:rsidP="00102439">
      <w:pPr>
        <w:ind w:left="1440"/>
        <w:rPr>
          <w:rFonts w:ascii="Arial" w:hAnsi="Arial" w:cs="Arial"/>
          <w:color w:val="000000" w:themeColor="text1"/>
          <w:sz w:val="22"/>
          <w:szCs w:val="22"/>
          <w:lang w:val="en-US"/>
        </w:rPr>
      </w:pPr>
      <w:r>
        <w:rPr>
          <w:rFonts w:ascii="Arial" w:hAnsi="Arial" w:cs="Arial"/>
          <w:color w:val="000000" w:themeColor="text1"/>
          <w:sz w:val="22"/>
          <w:szCs w:val="22"/>
          <w:lang w:val="en-US"/>
        </w:rPr>
        <w:t>Operations 1</w:t>
      </w:r>
      <w:r w:rsidR="00102439" w:rsidRPr="00102439">
        <w:rPr>
          <w:rFonts w:ascii="Arial" w:hAnsi="Arial" w:cs="Arial"/>
          <w:color w:val="000000" w:themeColor="text1"/>
          <w:sz w:val="22"/>
          <w:szCs w:val="22"/>
          <w:lang w:val="en-US"/>
        </w:rPr>
        <w:t xml:space="preserve">, </w:t>
      </w:r>
    </w:p>
    <w:p w14:paraId="5835DE82" w14:textId="77777777" w:rsidR="00102439" w:rsidRPr="00102439" w:rsidRDefault="00102439" w:rsidP="00102439">
      <w:pPr>
        <w:ind w:left="1440"/>
        <w:rPr>
          <w:rFonts w:ascii="Arial" w:hAnsi="Arial" w:cs="Arial"/>
          <w:color w:val="000000" w:themeColor="text1"/>
          <w:sz w:val="22"/>
          <w:szCs w:val="22"/>
          <w:lang w:val="en-US"/>
        </w:rPr>
      </w:pPr>
      <w:r w:rsidRPr="00102439">
        <w:rPr>
          <w:rFonts w:ascii="Arial" w:hAnsi="Arial" w:cs="Arial"/>
          <w:color w:val="000000" w:themeColor="text1"/>
          <w:sz w:val="22"/>
          <w:szCs w:val="22"/>
          <w:lang w:val="en-US"/>
        </w:rPr>
        <w:t xml:space="preserve">Anti-Dumping Commission </w:t>
      </w:r>
    </w:p>
    <w:p w14:paraId="25A602DC" w14:textId="5DB81B29" w:rsidR="00102439" w:rsidRPr="00102439" w:rsidRDefault="00956881" w:rsidP="00102439">
      <w:pPr>
        <w:ind w:left="1440"/>
        <w:rPr>
          <w:rFonts w:ascii="Arial" w:hAnsi="Arial" w:cs="Arial"/>
          <w:color w:val="000000" w:themeColor="text1"/>
          <w:sz w:val="22"/>
          <w:szCs w:val="22"/>
          <w:lang w:val="en-US"/>
        </w:rPr>
      </w:pPr>
      <w:r>
        <w:rPr>
          <w:rFonts w:ascii="Arial" w:hAnsi="Arial" w:cs="Arial"/>
          <w:color w:val="000000" w:themeColor="text1"/>
          <w:sz w:val="22"/>
          <w:szCs w:val="22"/>
          <w:lang w:val="en-US"/>
        </w:rPr>
        <w:t xml:space="preserve">GPO Box </w:t>
      </w:r>
      <w:r w:rsidR="0025191F">
        <w:rPr>
          <w:rFonts w:ascii="Arial" w:hAnsi="Arial" w:cs="Arial"/>
          <w:color w:val="000000" w:themeColor="text1"/>
          <w:sz w:val="22"/>
          <w:szCs w:val="22"/>
          <w:lang w:val="en-US"/>
        </w:rPr>
        <w:t>2013</w:t>
      </w:r>
    </w:p>
    <w:p w14:paraId="15C43FC0" w14:textId="37BC4CD8" w:rsidR="00AE5839" w:rsidRPr="00102439" w:rsidRDefault="0025191F" w:rsidP="00FE4CAC">
      <w:pPr>
        <w:spacing w:after="120"/>
        <w:ind w:left="1440"/>
        <w:rPr>
          <w:rFonts w:ascii="Arial" w:hAnsi="Arial" w:cs="Arial"/>
          <w:color w:val="000000" w:themeColor="text1"/>
          <w:sz w:val="22"/>
          <w:szCs w:val="22"/>
          <w:lang w:val="en-US"/>
        </w:rPr>
      </w:pPr>
      <w:r>
        <w:rPr>
          <w:rFonts w:ascii="Arial" w:hAnsi="Arial" w:cs="Arial"/>
          <w:color w:val="000000" w:themeColor="text1"/>
          <w:sz w:val="22"/>
          <w:szCs w:val="22"/>
          <w:lang w:val="en-US"/>
        </w:rPr>
        <w:t>Canberra ACT 2601</w:t>
      </w:r>
    </w:p>
    <w:p w14:paraId="15C43FC4" w14:textId="572330AE" w:rsidR="00B265F7" w:rsidRPr="00FE4CAC" w:rsidRDefault="00102439" w:rsidP="00FE4CAC">
      <w:pPr>
        <w:spacing w:after="240"/>
        <w:ind w:left="1440"/>
        <w:rPr>
          <w:rFonts w:ascii="Arial" w:hAnsi="Arial" w:cs="Arial"/>
          <w:sz w:val="22"/>
          <w:szCs w:val="22"/>
          <w:lang w:val="en-GB"/>
        </w:rPr>
      </w:pPr>
      <w:r w:rsidRPr="00263F66">
        <w:rPr>
          <w:rFonts w:ascii="Arial" w:hAnsi="Arial" w:cs="Arial"/>
          <w:sz w:val="22"/>
          <w:szCs w:val="22"/>
          <w:lang w:val="en-GB"/>
        </w:rPr>
        <w:t>O</w:t>
      </w:r>
      <w:r w:rsidR="00AE5839" w:rsidRPr="00263F66">
        <w:rPr>
          <w:rFonts w:ascii="Arial" w:hAnsi="Arial" w:cs="Arial"/>
          <w:sz w:val="22"/>
          <w:szCs w:val="22"/>
          <w:lang w:val="en-GB"/>
        </w:rPr>
        <w:t>r</w:t>
      </w:r>
      <w:r>
        <w:rPr>
          <w:rFonts w:ascii="Arial" w:hAnsi="Arial" w:cs="Arial"/>
          <w:sz w:val="22"/>
          <w:szCs w:val="22"/>
          <w:lang w:val="en-GB"/>
        </w:rPr>
        <w:t xml:space="preserve"> e</w:t>
      </w:r>
      <w:r w:rsidR="00B265F7" w:rsidRPr="006471C4">
        <w:rPr>
          <w:rFonts w:ascii="Arial" w:hAnsi="Arial" w:cs="Arial"/>
          <w:sz w:val="22"/>
          <w:szCs w:val="22"/>
          <w:lang w:val="en-GB"/>
        </w:rPr>
        <w:t xml:space="preserve">mail: </w:t>
      </w:r>
      <w:hyperlink r:id="rId13" w:history="1">
        <w:r w:rsidR="00D40CE5" w:rsidRPr="00D40CE5">
          <w:rPr>
            <w:rStyle w:val="Hyperlink"/>
            <w:rFonts w:ascii="Arial" w:hAnsi="Arial" w:cs="Arial"/>
          </w:rPr>
          <w:t>investigations</w:t>
        </w:r>
        <w:r w:rsidR="00053520" w:rsidRPr="00D40CE5">
          <w:rPr>
            <w:rStyle w:val="Hyperlink"/>
            <w:rFonts w:ascii="Arial" w:hAnsi="Arial" w:cs="Arial"/>
            <w:sz w:val="22"/>
            <w:szCs w:val="22"/>
            <w:lang w:val="en-GB"/>
          </w:rPr>
          <w:t>1</w:t>
        </w:r>
        <w:r w:rsidR="00794220" w:rsidRPr="00D40CE5">
          <w:rPr>
            <w:rStyle w:val="Hyperlink"/>
            <w:rFonts w:ascii="Arial" w:hAnsi="Arial" w:cs="Arial"/>
            <w:sz w:val="22"/>
            <w:szCs w:val="22"/>
            <w:lang w:val="en-GB"/>
          </w:rPr>
          <w:t>@adcommission.gov.au</w:t>
        </w:r>
      </w:hyperlink>
    </w:p>
    <w:p w14:paraId="15C43FC6" w14:textId="7071B432" w:rsidR="00B265F7" w:rsidRPr="00053520" w:rsidRDefault="00B265F7" w:rsidP="00053520">
      <w:pPr>
        <w:tabs>
          <w:tab w:val="num" w:pos="567"/>
        </w:tabs>
        <w:spacing w:after="120"/>
        <w:rPr>
          <w:rFonts w:ascii="Arial" w:hAnsi="Arial" w:cs="Arial"/>
          <w:b/>
          <w:sz w:val="22"/>
          <w:szCs w:val="22"/>
        </w:rPr>
      </w:pPr>
      <w:r w:rsidRPr="006471C4">
        <w:rPr>
          <w:rFonts w:ascii="Arial" w:hAnsi="Arial" w:cs="Arial"/>
          <w:b/>
          <w:sz w:val="22"/>
          <w:szCs w:val="22"/>
        </w:rPr>
        <w:t>Verification of the information that you supply</w:t>
      </w:r>
    </w:p>
    <w:p w14:paraId="15C43FC8" w14:textId="565AB229" w:rsidR="00B413C1" w:rsidRDefault="00811AC1" w:rsidP="00053520">
      <w:pPr>
        <w:widowControl w:val="0"/>
        <w:spacing w:after="120"/>
        <w:ind w:right="-51"/>
        <w:rPr>
          <w:rFonts w:ascii="Arial" w:hAnsi="Arial" w:cs="Arial"/>
          <w:snapToGrid w:val="0"/>
          <w:sz w:val="22"/>
          <w:szCs w:val="22"/>
        </w:rPr>
      </w:pPr>
      <w:r>
        <w:rPr>
          <w:rFonts w:ascii="Arial" w:hAnsi="Arial" w:cs="Arial"/>
          <w:snapToGrid w:val="0"/>
          <w:sz w:val="22"/>
          <w:szCs w:val="22"/>
        </w:rPr>
        <w:t xml:space="preserve">The </w:t>
      </w:r>
      <w:r w:rsidR="003F7785">
        <w:rPr>
          <w:rFonts w:ascii="Arial" w:hAnsi="Arial" w:cs="Arial"/>
          <w:snapToGrid w:val="0"/>
          <w:sz w:val="22"/>
          <w:szCs w:val="22"/>
        </w:rPr>
        <w:t>Commission</w:t>
      </w:r>
      <w:r w:rsidR="00B265F7" w:rsidRPr="006471C4">
        <w:rPr>
          <w:rFonts w:ascii="Arial" w:hAnsi="Arial" w:cs="Arial"/>
          <w:snapToGrid w:val="0"/>
          <w:sz w:val="22"/>
          <w:szCs w:val="22"/>
        </w:rPr>
        <w:t xml:space="preserve"> may seek to verify some all of the information supplied in the response. </w:t>
      </w:r>
      <w:r w:rsidR="00CE2207">
        <w:rPr>
          <w:rFonts w:ascii="Arial" w:hAnsi="Arial" w:cs="Arial"/>
          <w:snapToGrid w:val="0"/>
          <w:sz w:val="22"/>
          <w:szCs w:val="22"/>
        </w:rPr>
        <w:t xml:space="preserve">The </w:t>
      </w:r>
      <w:r w:rsidR="003F7785">
        <w:rPr>
          <w:rFonts w:ascii="Arial" w:hAnsi="Arial" w:cs="Arial"/>
          <w:snapToGrid w:val="0"/>
          <w:sz w:val="22"/>
          <w:szCs w:val="22"/>
        </w:rPr>
        <w:t>Commission</w:t>
      </w:r>
      <w:r w:rsidR="00B265F7" w:rsidRPr="006471C4">
        <w:rPr>
          <w:rFonts w:ascii="Arial" w:hAnsi="Arial" w:cs="Arial"/>
          <w:snapToGrid w:val="0"/>
          <w:sz w:val="22"/>
          <w:szCs w:val="22"/>
        </w:rPr>
        <w:t xml:space="preserve"> may request evidence to support the claims such as quotations and offers of sale.</w:t>
      </w:r>
      <w:r w:rsidR="00CB395A" w:rsidRPr="006471C4">
        <w:rPr>
          <w:rFonts w:ascii="Arial" w:hAnsi="Arial" w:cs="Arial"/>
          <w:snapToGrid w:val="0"/>
          <w:sz w:val="22"/>
          <w:szCs w:val="22"/>
        </w:rPr>
        <w:t xml:space="preserve">  </w:t>
      </w:r>
    </w:p>
    <w:p w14:paraId="15C43FCA" w14:textId="283D650F" w:rsidR="00CB395A" w:rsidRPr="006471C4" w:rsidRDefault="00CB395A" w:rsidP="00053520">
      <w:pPr>
        <w:widowControl w:val="0"/>
        <w:spacing w:after="120"/>
        <w:ind w:right="-51"/>
        <w:rPr>
          <w:rFonts w:ascii="Arial" w:hAnsi="Arial" w:cs="Arial"/>
          <w:sz w:val="22"/>
          <w:szCs w:val="22"/>
        </w:rPr>
      </w:pPr>
      <w:r w:rsidRPr="006471C4">
        <w:rPr>
          <w:rFonts w:ascii="Arial" w:hAnsi="Arial" w:cs="Arial"/>
          <w:sz w:val="22"/>
          <w:szCs w:val="22"/>
        </w:rPr>
        <w:t xml:space="preserve">An onsite visit by </w:t>
      </w:r>
      <w:r w:rsidR="0053356F">
        <w:rPr>
          <w:rFonts w:ascii="Arial" w:hAnsi="Arial" w:cs="Arial"/>
          <w:sz w:val="22"/>
          <w:szCs w:val="22"/>
        </w:rPr>
        <w:t xml:space="preserve">the </w:t>
      </w:r>
      <w:r w:rsidR="003F7785">
        <w:rPr>
          <w:rFonts w:ascii="Arial" w:hAnsi="Arial" w:cs="Arial"/>
          <w:sz w:val="22"/>
          <w:szCs w:val="22"/>
        </w:rPr>
        <w:t>Commission</w:t>
      </w:r>
      <w:r w:rsidRPr="006471C4">
        <w:rPr>
          <w:rFonts w:ascii="Arial" w:hAnsi="Arial" w:cs="Arial"/>
          <w:sz w:val="22"/>
          <w:szCs w:val="22"/>
        </w:rPr>
        <w:t xml:space="preserve"> may be required in some cases. A report </w:t>
      </w:r>
      <w:r w:rsidR="00816E64" w:rsidRPr="006471C4">
        <w:rPr>
          <w:rFonts w:ascii="Arial" w:hAnsi="Arial" w:cs="Arial"/>
          <w:sz w:val="22"/>
          <w:szCs w:val="22"/>
        </w:rPr>
        <w:t>will</w:t>
      </w:r>
      <w:r w:rsidRPr="006471C4">
        <w:rPr>
          <w:rFonts w:ascii="Arial" w:hAnsi="Arial" w:cs="Arial"/>
          <w:sz w:val="22"/>
          <w:szCs w:val="22"/>
        </w:rPr>
        <w:t xml:space="preserve"> be </w:t>
      </w:r>
      <w:r w:rsidR="00816E64" w:rsidRPr="006471C4">
        <w:rPr>
          <w:rFonts w:ascii="Arial" w:hAnsi="Arial" w:cs="Arial"/>
          <w:sz w:val="22"/>
          <w:szCs w:val="22"/>
        </w:rPr>
        <w:t>prepared</w:t>
      </w:r>
      <w:r w:rsidRPr="006471C4">
        <w:rPr>
          <w:rFonts w:ascii="Arial" w:hAnsi="Arial" w:cs="Arial"/>
          <w:sz w:val="22"/>
          <w:szCs w:val="22"/>
        </w:rPr>
        <w:t xml:space="preserve"> of visits conducted and a non-confidential version will be </w:t>
      </w:r>
      <w:r w:rsidR="00B413C1">
        <w:rPr>
          <w:rFonts w:ascii="Arial" w:hAnsi="Arial" w:cs="Arial"/>
          <w:sz w:val="22"/>
          <w:szCs w:val="22"/>
        </w:rPr>
        <w:t xml:space="preserve">placed on the public record. </w:t>
      </w:r>
    </w:p>
    <w:p w14:paraId="15C43FCC" w14:textId="49F71DC2" w:rsidR="00CB395A" w:rsidRDefault="00B01C07" w:rsidP="00053520">
      <w:pPr>
        <w:widowControl w:val="0"/>
        <w:spacing w:after="120"/>
        <w:ind w:right="-51"/>
        <w:rPr>
          <w:rFonts w:ascii="Arial" w:hAnsi="Arial" w:cs="Arial"/>
          <w:snapToGrid w:val="0"/>
          <w:sz w:val="22"/>
          <w:szCs w:val="22"/>
        </w:rPr>
      </w:pPr>
      <w:r w:rsidRPr="006471C4">
        <w:rPr>
          <w:rFonts w:ascii="Arial" w:hAnsi="Arial" w:cs="Arial"/>
          <w:sz w:val="22"/>
          <w:szCs w:val="22"/>
        </w:rPr>
        <w:t>T</w:t>
      </w:r>
      <w:r w:rsidR="00CB395A" w:rsidRPr="006471C4">
        <w:rPr>
          <w:rFonts w:ascii="Arial" w:hAnsi="Arial" w:cs="Arial"/>
          <w:sz w:val="22"/>
          <w:szCs w:val="22"/>
        </w:rPr>
        <w:t xml:space="preserve">here is no legislative timeframe for </w:t>
      </w:r>
      <w:r w:rsidR="00816E64" w:rsidRPr="006471C4">
        <w:rPr>
          <w:rFonts w:ascii="Arial" w:hAnsi="Arial" w:cs="Arial"/>
          <w:sz w:val="22"/>
          <w:szCs w:val="22"/>
        </w:rPr>
        <w:t>completion of an exemption i</w:t>
      </w:r>
      <w:r w:rsidR="00CB395A" w:rsidRPr="006471C4">
        <w:rPr>
          <w:rFonts w:ascii="Arial" w:hAnsi="Arial" w:cs="Arial"/>
          <w:sz w:val="22"/>
          <w:szCs w:val="22"/>
        </w:rPr>
        <w:t xml:space="preserve">nquiry, however a </w:t>
      </w:r>
      <w:r w:rsidRPr="006471C4">
        <w:rPr>
          <w:rFonts w:ascii="Arial" w:hAnsi="Arial" w:cs="Arial"/>
          <w:sz w:val="22"/>
          <w:szCs w:val="22"/>
        </w:rPr>
        <w:t xml:space="preserve">recommendation to </w:t>
      </w:r>
      <w:r w:rsidRPr="007723CF">
        <w:rPr>
          <w:rFonts w:ascii="Arial" w:hAnsi="Arial" w:cs="Arial"/>
          <w:sz w:val="22"/>
          <w:szCs w:val="22"/>
        </w:rPr>
        <w:t xml:space="preserve">the </w:t>
      </w:r>
      <w:r w:rsidR="006958A0" w:rsidRPr="007723CF">
        <w:rPr>
          <w:rFonts w:ascii="Arial" w:hAnsi="Arial" w:cs="Arial"/>
          <w:sz w:val="22"/>
          <w:szCs w:val="22"/>
        </w:rPr>
        <w:t xml:space="preserve">Parliamentary Secretary </w:t>
      </w:r>
      <w:r w:rsidRPr="006471C4">
        <w:rPr>
          <w:rFonts w:ascii="Arial" w:hAnsi="Arial" w:cs="Arial"/>
          <w:sz w:val="22"/>
          <w:szCs w:val="22"/>
        </w:rPr>
        <w:t xml:space="preserve">will be made </w:t>
      </w:r>
      <w:r w:rsidR="00CB395A" w:rsidRPr="006471C4">
        <w:rPr>
          <w:rFonts w:ascii="Arial" w:hAnsi="Arial" w:cs="Arial"/>
          <w:sz w:val="22"/>
          <w:szCs w:val="22"/>
        </w:rPr>
        <w:t>as soon as practicable</w:t>
      </w:r>
      <w:r w:rsidR="004C3F06" w:rsidRPr="006471C4">
        <w:rPr>
          <w:rFonts w:ascii="Arial" w:hAnsi="Arial" w:cs="Arial"/>
          <w:sz w:val="22"/>
          <w:szCs w:val="22"/>
        </w:rPr>
        <w:t xml:space="preserve"> </w:t>
      </w:r>
      <w:r w:rsidRPr="006471C4">
        <w:rPr>
          <w:rFonts w:ascii="Arial" w:hAnsi="Arial" w:cs="Arial"/>
          <w:sz w:val="22"/>
          <w:szCs w:val="22"/>
        </w:rPr>
        <w:t xml:space="preserve">after obtaining all </w:t>
      </w:r>
      <w:r w:rsidR="00816E64" w:rsidRPr="006471C4">
        <w:rPr>
          <w:rFonts w:ascii="Arial" w:hAnsi="Arial" w:cs="Arial"/>
          <w:sz w:val="22"/>
          <w:szCs w:val="22"/>
        </w:rPr>
        <w:t xml:space="preserve">relevant </w:t>
      </w:r>
      <w:r w:rsidR="004C3F06" w:rsidRPr="006471C4">
        <w:rPr>
          <w:rFonts w:ascii="Arial" w:hAnsi="Arial" w:cs="Arial"/>
          <w:sz w:val="22"/>
          <w:szCs w:val="22"/>
        </w:rPr>
        <w:t>information</w:t>
      </w:r>
      <w:r w:rsidR="00CB395A" w:rsidRPr="006471C4">
        <w:rPr>
          <w:rFonts w:ascii="Arial" w:hAnsi="Arial" w:cs="Arial"/>
          <w:sz w:val="22"/>
          <w:szCs w:val="22"/>
        </w:rPr>
        <w:t>.</w:t>
      </w:r>
    </w:p>
    <w:p w14:paraId="15C43FCD" w14:textId="77777777" w:rsidR="00E53A92" w:rsidRPr="00E53A92" w:rsidRDefault="00E53A92" w:rsidP="00E1436D">
      <w:pPr>
        <w:tabs>
          <w:tab w:val="num" w:pos="567"/>
        </w:tabs>
        <w:rPr>
          <w:rFonts w:ascii="Arial" w:hAnsi="Arial" w:cs="Arial"/>
          <w:snapToGrid w:val="0"/>
          <w:sz w:val="22"/>
          <w:szCs w:val="22"/>
        </w:rPr>
      </w:pPr>
      <w:r w:rsidRPr="00E53A92">
        <w:rPr>
          <w:rFonts w:ascii="Arial" w:hAnsi="Arial" w:cs="Arial"/>
          <w:b/>
          <w:sz w:val="22"/>
          <w:szCs w:val="22"/>
        </w:rPr>
        <w:t>Con</w:t>
      </w:r>
      <w:r w:rsidR="003A1B6F">
        <w:rPr>
          <w:rFonts w:ascii="Arial" w:hAnsi="Arial" w:cs="Arial"/>
          <w:b/>
          <w:sz w:val="22"/>
          <w:szCs w:val="22"/>
        </w:rPr>
        <w:t>fidential and non-confidential s</w:t>
      </w:r>
      <w:r w:rsidRPr="00E53A92">
        <w:rPr>
          <w:rFonts w:ascii="Arial" w:hAnsi="Arial" w:cs="Arial"/>
          <w:b/>
          <w:sz w:val="22"/>
          <w:szCs w:val="22"/>
        </w:rPr>
        <w:t>ubmissions</w:t>
      </w:r>
    </w:p>
    <w:p w14:paraId="15C43FCE" w14:textId="77777777" w:rsidR="00E53A92" w:rsidRDefault="00396AF4" w:rsidP="00E1436D">
      <w:pPr>
        <w:widowControl w:val="0"/>
        <w:spacing w:before="120" w:after="120"/>
        <w:ind w:right="-51"/>
        <w:rPr>
          <w:rFonts w:ascii="Arial" w:hAnsi="Arial" w:cs="Arial"/>
          <w:snapToGrid w:val="0"/>
          <w:sz w:val="22"/>
          <w:szCs w:val="22"/>
        </w:rPr>
      </w:pPr>
      <w:r>
        <w:rPr>
          <w:rFonts w:ascii="Arial" w:hAnsi="Arial" w:cs="Arial"/>
          <w:snapToGrid w:val="0"/>
          <w:sz w:val="22"/>
          <w:szCs w:val="22"/>
        </w:rPr>
        <w:t xml:space="preserve">We request that you also </w:t>
      </w:r>
      <w:r w:rsidR="00E53A92" w:rsidRPr="00E53A92">
        <w:rPr>
          <w:rFonts w:ascii="Arial" w:hAnsi="Arial" w:cs="Arial"/>
          <w:snapToGrid w:val="0"/>
          <w:sz w:val="22"/>
          <w:szCs w:val="22"/>
        </w:rPr>
        <w:t xml:space="preserve">lodge </w:t>
      </w:r>
      <w:r w:rsidR="00E53A92">
        <w:rPr>
          <w:rFonts w:ascii="Arial" w:hAnsi="Arial" w:cs="Arial"/>
          <w:snapToGrid w:val="0"/>
          <w:sz w:val="22"/>
          <w:szCs w:val="22"/>
        </w:rPr>
        <w:t xml:space="preserve">a non-confidential version of your response suitable for </w:t>
      </w:r>
      <w:r w:rsidR="003A1B6F">
        <w:rPr>
          <w:rFonts w:ascii="Arial" w:hAnsi="Arial" w:cs="Arial"/>
          <w:snapToGrid w:val="0"/>
          <w:sz w:val="22"/>
          <w:szCs w:val="22"/>
        </w:rPr>
        <w:t xml:space="preserve">placement on the public record. </w:t>
      </w:r>
      <w:r>
        <w:rPr>
          <w:rFonts w:ascii="Arial" w:hAnsi="Arial" w:cs="Arial"/>
          <w:snapToGrid w:val="0"/>
          <w:sz w:val="22"/>
          <w:szCs w:val="22"/>
        </w:rPr>
        <w:t xml:space="preserve"> The Commission puts greater weight on submissions that are available to other interested parties</w:t>
      </w:r>
      <w:r w:rsidRPr="00396AF4">
        <w:t xml:space="preserve"> </w:t>
      </w:r>
      <w:r w:rsidRPr="00396AF4">
        <w:rPr>
          <w:rFonts w:ascii="Arial" w:hAnsi="Arial" w:cs="Arial"/>
          <w:snapToGrid w:val="0"/>
          <w:sz w:val="22"/>
          <w:szCs w:val="22"/>
        </w:rPr>
        <w:t>for comment</w:t>
      </w:r>
      <w:r>
        <w:rPr>
          <w:rFonts w:ascii="Arial" w:hAnsi="Arial" w:cs="Arial"/>
          <w:snapToGrid w:val="0"/>
          <w:sz w:val="22"/>
          <w:szCs w:val="22"/>
        </w:rPr>
        <w:t xml:space="preserve">. </w:t>
      </w:r>
    </w:p>
    <w:p w14:paraId="15C43FCF" w14:textId="77777777" w:rsidR="00E53A92" w:rsidRPr="00E53A92" w:rsidRDefault="00E53A92" w:rsidP="00E1436D">
      <w:pPr>
        <w:widowControl w:val="0"/>
        <w:spacing w:before="120" w:after="120"/>
        <w:ind w:right="-51"/>
        <w:rPr>
          <w:rFonts w:ascii="Arial" w:hAnsi="Arial" w:cs="Arial"/>
          <w:snapToGrid w:val="0"/>
          <w:sz w:val="22"/>
          <w:szCs w:val="22"/>
        </w:rPr>
      </w:pPr>
      <w:r w:rsidRPr="00E53A92">
        <w:rPr>
          <w:rFonts w:ascii="Arial" w:hAnsi="Arial" w:cs="Arial"/>
          <w:snapToGrid w:val="0"/>
          <w:sz w:val="22"/>
          <w:szCs w:val="22"/>
        </w:rPr>
        <w:t>Please ensure that each page of information you provide is clearly marked either “FOR OFFICIAL USE ONLY” or “PUBLIC RECORD”.</w:t>
      </w:r>
    </w:p>
    <w:p w14:paraId="15C43FD0" w14:textId="77777777" w:rsidR="00E53A92" w:rsidRPr="00E53A92" w:rsidRDefault="00E53A92" w:rsidP="00E1436D">
      <w:pPr>
        <w:widowControl w:val="0"/>
        <w:spacing w:before="120" w:after="120"/>
        <w:ind w:right="-51"/>
        <w:rPr>
          <w:rFonts w:ascii="Arial" w:hAnsi="Arial" w:cs="Arial"/>
          <w:snapToGrid w:val="0"/>
          <w:sz w:val="22"/>
          <w:szCs w:val="22"/>
        </w:rPr>
      </w:pPr>
      <w:r w:rsidRPr="00E53A92">
        <w:rPr>
          <w:rFonts w:ascii="Arial" w:hAnsi="Arial" w:cs="Arial"/>
          <w:snapToGrid w:val="0"/>
          <w:sz w:val="22"/>
          <w:szCs w:val="22"/>
        </w:rPr>
        <w:t xml:space="preserve">All information provided to the Commission in confidence will be treated accordingly. The non-confidential version of your submission will be placed on the public record.  </w:t>
      </w:r>
    </w:p>
    <w:p w14:paraId="66245236" w14:textId="77777777" w:rsidR="00C05626" w:rsidRDefault="00C05626" w:rsidP="00B265F7">
      <w:pPr>
        <w:tabs>
          <w:tab w:val="num" w:pos="567"/>
        </w:tabs>
        <w:rPr>
          <w:rFonts w:ascii="Arial" w:hAnsi="Arial" w:cs="Arial"/>
          <w:b/>
          <w:sz w:val="22"/>
          <w:szCs w:val="22"/>
        </w:rPr>
      </w:pPr>
    </w:p>
    <w:p w14:paraId="15C43FD1" w14:textId="77777777" w:rsidR="00B265F7" w:rsidRDefault="00B265F7" w:rsidP="00B265F7">
      <w:pPr>
        <w:tabs>
          <w:tab w:val="num" w:pos="567"/>
        </w:tabs>
        <w:rPr>
          <w:rFonts w:ascii="Arial" w:hAnsi="Arial" w:cs="Arial"/>
          <w:b/>
          <w:sz w:val="22"/>
          <w:szCs w:val="22"/>
        </w:rPr>
      </w:pPr>
      <w:r w:rsidRPr="006471C4">
        <w:rPr>
          <w:rFonts w:ascii="Arial" w:hAnsi="Arial" w:cs="Arial"/>
          <w:b/>
          <w:sz w:val="22"/>
          <w:szCs w:val="22"/>
        </w:rPr>
        <w:t xml:space="preserve">Outline of information required by </w:t>
      </w:r>
      <w:r w:rsidR="003A1B6F">
        <w:rPr>
          <w:rFonts w:ascii="Arial" w:hAnsi="Arial" w:cs="Arial"/>
          <w:b/>
          <w:sz w:val="22"/>
          <w:szCs w:val="22"/>
        </w:rPr>
        <w:t xml:space="preserve">the </w:t>
      </w:r>
      <w:r w:rsidR="002E3E03">
        <w:rPr>
          <w:rFonts w:ascii="Arial" w:hAnsi="Arial" w:cs="Arial"/>
          <w:b/>
          <w:sz w:val="22"/>
          <w:szCs w:val="22"/>
        </w:rPr>
        <w:t>r</w:t>
      </w:r>
      <w:r w:rsidRPr="006471C4">
        <w:rPr>
          <w:rFonts w:ascii="Arial" w:hAnsi="Arial" w:cs="Arial"/>
          <w:b/>
          <w:sz w:val="22"/>
          <w:szCs w:val="22"/>
        </w:rPr>
        <w:t xml:space="preserve">esponse </w:t>
      </w:r>
    </w:p>
    <w:p w14:paraId="21ABA9FD" w14:textId="77777777" w:rsidR="00D27E89" w:rsidRPr="006471C4" w:rsidRDefault="00D27E89" w:rsidP="00B265F7">
      <w:pPr>
        <w:tabs>
          <w:tab w:val="num" w:pos="567"/>
        </w:tabs>
        <w:rPr>
          <w:rFonts w:ascii="Arial" w:hAnsi="Arial" w:cs="Arial"/>
          <w:b/>
          <w:sz w:val="22"/>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804"/>
      </w:tblGrid>
      <w:tr w:rsidR="00B265F7" w:rsidRPr="006471C4" w14:paraId="15C43FD5" w14:textId="77777777" w:rsidTr="00D57237">
        <w:tc>
          <w:tcPr>
            <w:tcW w:w="1526" w:type="dxa"/>
          </w:tcPr>
          <w:p w14:paraId="15C43FD3" w14:textId="77777777" w:rsidR="00B265F7" w:rsidRPr="006471C4" w:rsidRDefault="00B265F7" w:rsidP="00E66AAE">
            <w:pPr>
              <w:widowControl w:val="0"/>
              <w:spacing w:after="120"/>
              <w:ind w:right="-716"/>
              <w:rPr>
                <w:rFonts w:ascii="Arial" w:hAnsi="Arial" w:cs="Arial"/>
                <w:b/>
                <w:snapToGrid w:val="0"/>
                <w:sz w:val="22"/>
                <w:szCs w:val="22"/>
              </w:rPr>
            </w:pPr>
            <w:r w:rsidRPr="006471C4">
              <w:rPr>
                <w:rFonts w:ascii="Arial" w:hAnsi="Arial" w:cs="Arial"/>
                <w:b/>
                <w:snapToGrid w:val="0"/>
                <w:sz w:val="22"/>
                <w:szCs w:val="22"/>
              </w:rPr>
              <w:t>Part A</w:t>
            </w:r>
          </w:p>
        </w:tc>
        <w:tc>
          <w:tcPr>
            <w:tcW w:w="6804" w:type="dxa"/>
          </w:tcPr>
          <w:p w14:paraId="15C43FD4" w14:textId="77777777" w:rsidR="00B265F7" w:rsidRPr="006471C4" w:rsidRDefault="00B265F7" w:rsidP="00E66AAE">
            <w:pPr>
              <w:widowControl w:val="0"/>
              <w:spacing w:after="120"/>
              <w:ind w:right="113"/>
              <w:rPr>
                <w:rFonts w:ascii="Arial" w:hAnsi="Arial" w:cs="Arial"/>
                <w:snapToGrid w:val="0"/>
                <w:sz w:val="22"/>
                <w:szCs w:val="22"/>
              </w:rPr>
            </w:pPr>
            <w:r w:rsidRPr="006471C4">
              <w:rPr>
                <w:rFonts w:ascii="Arial" w:hAnsi="Arial" w:cs="Arial"/>
                <w:snapToGrid w:val="0"/>
                <w:sz w:val="22"/>
                <w:szCs w:val="22"/>
              </w:rPr>
              <w:t xml:space="preserve">Company contact information </w:t>
            </w:r>
          </w:p>
        </w:tc>
      </w:tr>
      <w:tr w:rsidR="00B265F7" w:rsidRPr="006471C4" w14:paraId="15C43FD8" w14:textId="77777777" w:rsidTr="00D57237">
        <w:tc>
          <w:tcPr>
            <w:tcW w:w="1526" w:type="dxa"/>
          </w:tcPr>
          <w:p w14:paraId="15C43FD6" w14:textId="77777777" w:rsidR="00B265F7" w:rsidRPr="006471C4" w:rsidRDefault="00B265F7" w:rsidP="00E66AAE">
            <w:pPr>
              <w:widowControl w:val="0"/>
              <w:spacing w:after="120"/>
              <w:ind w:right="-716"/>
              <w:rPr>
                <w:rFonts w:ascii="Arial" w:hAnsi="Arial" w:cs="Arial"/>
                <w:b/>
                <w:snapToGrid w:val="0"/>
                <w:sz w:val="22"/>
                <w:szCs w:val="22"/>
              </w:rPr>
            </w:pPr>
            <w:r w:rsidRPr="006471C4">
              <w:rPr>
                <w:rFonts w:ascii="Arial" w:hAnsi="Arial" w:cs="Arial"/>
                <w:b/>
                <w:snapToGrid w:val="0"/>
                <w:sz w:val="22"/>
                <w:szCs w:val="22"/>
              </w:rPr>
              <w:t>Part B</w:t>
            </w:r>
          </w:p>
        </w:tc>
        <w:tc>
          <w:tcPr>
            <w:tcW w:w="6804" w:type="dxa"/>
          </w:tcPr>
          <w:p w14:paraId="15C43FD7" w14:textId="77777777" w:rsidR="00B265F7" w:rsidRPr="006471C4" w:rsidRDefault="00795663" w:rsidP="00E66AAE">
            <w:pPr>
              <w:widowControl w:val="0"/>
              <w:spacing w:after="120"/>
              <w:ind w:right="113"/>
              <w:rPr>
                <w:rFonts w:ascii="Arial" w:hAnsi="Arial" w:cs="Arial"/>
                <w:snapToGrid w:val="0"/>
                <w:sz w:val="22"/>
                <w:szCs w:val="22"/>
              </w:rPr>
            </w:pPr>
            <w:r w:rsidRPr="00795663">
              <w:rPr>
                <w:rFonts w:ascii="Arial" w:hAnsi="Arial" w:cs="Arial"/>
                <w:snapToGrid w:val="0"/>
                <w:sz w:val="22"/>
                <w:szCs w:val="22"/>
              </w:rPr>
              <w:t>Response to exemption application</w:t>
            </w:r>
          </w:p>
        </w:tc>
      </w:tr>
      <w:tr w:rsidR="00B265F7" w:rsidRPr="006471C4" w14:paraId="15C43FDB" w14:textId="77777777" w:rsidTr="00D57237">
        <w:tc>
          <w:tcPr>
            <w:tcW w:w="1526" w:type="dxa"/>
          </w:tcPr>
          <w:p w14:paraId="15C43FD9" w14:textId="77777777" w:rsidR="00B265F7" w:rsidRPr="006471C4" w:rsidRDefault="00B265F7" w:rsidP="00E66AAE">
            <w:pPr>
              <w:widowControl w:val="0"/>
              <w:spacing w:after="120"/>
              <w:ind w:right="-716"/>
              <w:rPr>
                <w:rFonts w:ascii="Arial" w:hAnsi="Arial" w:cs="Arial"/>
                <w:b/>
                <w:snapToGrid w:val="0"/>
                <w:sz w:val="22"/>
                <w:szCs w:val="22"/>
              </w:rPr>
            </w:pPr>
            <w:r w:rsidRPr="006471C4">
              <w:rPr>
                <w:rFonts w:ascii="Arial" w:hAnsi="Arial" w:cs="Arial"/>
                <w:b/>
                <w:snapToGrid w:val="0"/>
                <w:sz w:val="22"/>
                <w:szCs w:val="22"/>
              </w:rPr>
              <w:lastRenderedPageBreak/>
              <w:t>Part C</w:t>
            </w:r>
          </w:p>
        </w:tc>
        <w:tc>
          <w:tcPr>
            <w:tcW w:w="6804" w:type="dxa"/>
          </w:tcPr>
          <w:p w14:paraId="15C43FDA" w14:textId="3B883DC9" w:rsidR="00B265F7" w:rsidRPr="006471C4" w:rsidRDefault="00236AC3" w:rsidP="00E66AAE">
            <w:pPr>
              <w:widowControl w:val="0"/>
              <w:spacing w:after="120"/>
              <w:ind w:right="113"/>
              <w:rPr>
                <w:rFonts w:ascii="Arial" w:hAnsi="Arial" w:cs="Arial"/>
                <w:snapToGrid w:val="0"/>
                <w:sz w:val="22"/>
                <w:szCs w:val="22"/>
              </w:rPr>
            </w:pPr>
            <w:r>
              <w:rPr>
                <w:rFonts w:ascii="Arial" w:hAnsi="Arial" w:cs="Arial"/>
                <w:snapToGrid w:val="0"/>
                <w:sz w:val="22"/>
                <w:szCs w:val="22"/>
              </w:rPr>
              <w:t>Identical goods</w:t>
            </w:r>
            <w:r w:rsidR="00B265F7" w:rsidRPr="006471C4">
              <w:rPr>
                <w:rFonts w:ascii="Arial" w:hAnsi="Arial" w:cs="Arial"/>
                <w:snapToGrid w:val="0"/>
                <w:sz w:val="22"/>
                <w:szCs w:val="22"/>
              </w:rPr>
              <w:t xml:space="preserve"> </w:t>
            </w:r>
          </w:p>
        </w:tc>
      </w:tr>
      <w:tr w:rsidR="00B265F7" w:rsidRPr="006471C4" w14:paraId="15C43FDE" w14:textId="77777777" w:rsidTr="00D57237">
        <w:tc>
          <w:tcPr>
            <w:tcW w:w="1526" w:type="dxa"/>
          </w:tcPr>
          <w:p w14:paraId="15C43FDC" w14:textId="77777777" w:rsidR="00B265F7" w:rsidRPr="006471C4" w:rsidRDefault="00B265F7" w:rsidP="00E66AAE">
            <w:pPr>
              <w:widowControl w:val="0"/>
              <w:spacing w:after="120"/>
              <w:ind w:right="-716"/>
              <w:rPr>
                <w:rFonts w:ascii="Arial" w:hAnsi="Arial" w:cs="Arial"/>
                <w:b/>
                <w:snapToGrid w:val="0"/>
                <w:sz w:val="22"/>
                <w:szCs w:val="22"/>
              </w:rPr>
            </w:pPr>
            <w:r w:rsidRPr="006471C4">
              <w:rPr>
                <w:rFonts w:ascii="Arial" w:hAnsi="Arial" w:cs="Arial"/>
                <w:b/>
                <w:snapToGrid w:val="0"/>
                <w:sz w:val="22"/>
                <w:szCs w:val="22"/>
              </w:rPr>
              <w:t>Part D</w:t>
            </w:r>
          </w:p>
        </w:tc>
        <w:tc>
          <w:tcPr>
            <w:tcW w:w="6804" w:type="dxa"/>
          </w:tcPr>
          <w:p w14:paraId="15C43FDD" w14:textId="25B0A3A1" w:rsidR="00B265F7" w:rsidRPr="006471C4" w:rsidRDefault="00236AC3" w:rsidP="00E66AAE">
            <w:pPr>
              <w:widowControl w:val="0"/>
              <w:spacing w:after="120"/>
              <w:ind w:right="113"/>
              <w:rPr>
                <w:rFonts w:ascii="Arial" w:hAnsi="Arial" w:cs="Arial"/>
                <w:snapToGrid w:val="0"/>
                <w:sz w:val="22"/>
                <w:szCs w:val="22"/>
              </w:rPr>
            </w:pPr>
            <w:r>
              <w:rPr>
                <w:rFonts w:ascii="Arial" w:hAnsi="Arial" w:cs="Arial"/>
                <w:snapToGrid w:val="0"/>
                <w:sz w:val="22"/>
                <w:szCs w:val="22"/>
              </w:rPr>
              <w:t>Like or directly competitive goods</w:t>
            </w:r>
            <w:r w:rsidR="00B265F7" w:rsidRPr="006471C4">
              <w:rPr>
                <w:rFonts w:ascii="Arial" w:hAnsi="Arial" w:cs="Arial"/>
                <w:snapToGrid w:val="0"/>
                <w:sz w:val="22"/>
                <w:szCs w:val="22"/>
              </w:rPr>
              <w:t xml:space="preserve"> </w:t>
            </w:r>
          </w:p>
        </w:tc>
      </w:tr>
      <w:tr w:rsidR="00B265F7" w:rsidRPr="006471C4" w14:paraId="15C43FE1" w14:textId="77777777" w:rsidTr="00D57237">
        <w:tc>
          <w:tcPr>
            <w:tcW w:w="1526" w:type="dxa"/>
          </w:tcPr>
          <w:p w14:paraId="15C43FDF" w14:textId="77777777" w:rsidR="00B265F7" w:rsidRPr="006471C4" w:rsidRDefault="00B265F7" w:rsidP="00E66AAE">
            <w:pPr>
              <w:widowControl w:val="0"/>
              <w:spacing w:after="120"/>
              <w:ind w:right="-716"/>
              <w:rPr>
                <w:rFonts w:ascii="Arial" w:hAnsi="Arial" w:cs="Arial"/>
                <w:b/>
                <w:snapToGrid w:val="0"/>
                <w:sz w:val="22"/>
                <w:szCs w:val="22"/>
              </w:rPr>
            </w:pPr>
            <w:r w:rsidRPr="006471C4">
              <w:rPr>
                <w:rFonts w:ascii="Arial" w:hAnsi="Arial" w:cs="Arial"/>
                <w:b/>
                <w:snapToGrid w:val="0"/>
                <w:sz w:val="22"/>
                <w:szCs w:val="22"/>
              </w:rPr>
              <w:t>Part E</w:t>
            </w:r>
          </w:p>
        </w:tc>
        <w:tc>
          <w:tcPr>
            <w:tcW w:w="6804" w:type="dxa"/>
          </w:tcPr>
          <w:p w14:paraId="15C43FE0" w14:textId="5EA8EFEE" w:rsidR="00B265F7" w:rsidRPr="006471C4" w:rsidRDefault="00236AC3" w:rsidP="00E66AAE">
            <w:pPr>
              <w:widowControl w:val="0"/>
              <w:spacing w:after="120"/>
              <w:ind w:right="113"/>
              <w:rPr>
                <w:rFonts w:ascii="Arial" w:hAnsi="Arial" w:cs="Arial"/>
                <w:snapToGrid w:val="0"/>
                <w:sz w:val="22"/>
                <w:szCs w:val="22"/>
              </w:rPr>
            </w:pPr>
            <w:r>
              <w:rPr>
                <w:rFonts w:ascii="Arial" w:hAnsi="Arial" w:cs="Arial"/>
                <w:snapToGrid w:val="0"/>
                <w:sz w:val="22"/>
                <w:szCs w:val="22"/>
              </w:rPr>
              <w:t>Capability to produce like or directly competitive goods</w:t>
            </w:r>
            <w:r w:rsidR="00B265F7" w:rsidRPr="006471C4">
              <w:rPr>
                <w:rFonts w:ascii="Arial" w:hAnsi="Arial" w:cs="Arial"/>
                <w:snapToGrid w:val="0"/>
                <w:sz w:val="22"/>
                <w:szCs w:val="22"/>
              </w:rPr>
              <w:t xml:space="preserve"> </w:t>
            </w:r>
          </w:p>
        </w:tc>
      </w:tr>
      <w:tr w:rsidR="00236AC3" w:rsidRPr="006471C4" w14:paraId="30F10238" w14:textId="77777777" w:rsidTr="00D57237">
        <w:tc>
          <w:tcPr>
            <w:tcW w:w="1526" w:type="dxa"/>
          </w:tcPr>
          <w:p w14:paraId="05AD98D8" w14:textId="28EEDE69" w:rsidR="00236AC3" w:rsidRPr="006471C4" w:rsidRDefault="00236AC3" w:rsidP="00E66AAE">
            <w:pPr>
              <w:widowControl w:val="0"/>
              <w:spacing w:after="120"/>
              <w:ind w:right="-716"/>
              <w:rPr>
                <w:rFonts w:ascii="Arial" w:hAnsi="Arial" w:cs="Arial"/>
                <w:b/>
                <w:snapToGrid w:val="0"/>
                <w:sz w:val="22"/>
                <w:szCs w:val="22"/>
              </w:rPr>
            </w:pPr>
            <w:r>
              <w:rPr>
                <w:rFonts w:ascii="Arial" w:hAnsi="Arial" w:cs="Arial"/>
                <w:b/>
                <w:snapToGrid w:val="0"/>
                <w:sz w:val="22"/>
                <w:szCs w:val="22"/>
              </w:rPr>
              <w:t>Part F</w:t>
            </w:r>
          </w:p>
        </w:tc>
        <w:tc>
          <w:tcPr>
            <w:tcW w:w="6804" w:type="dxa"/>
          </w:tcPr>
          <w:p w14:paraId="6FCD4585" w14:textId="54AC1D83" w:rsidR="00236AC3" w:rsidRDefault="003A398F" w:rsidP="00E66AAE">
            <w:pPr>
              <w:widowControl w:val="0"/>
              <w:spacing w:after="120"/>
              <w:ind w:right="113"/>
              <w:rPr>
                <w:rFonts w:ascii="Arial" w:hAnsi="Arial" w:cs="Arial"/>
                <w:snapToGrid w:val="0"/>
                <w:sz w:val="22"/>
                <w:szCs w:val="22"/>
              </w:rPr>
            </w:pPr>
            <w:r>
              <w:rPr>
                <w:rFonts w:ascii="Arial" w:hAnsi="Arial" w:cs="Arial"/>
                <w:snapToGrid w:val="0"/>
                <w:sz w:val="22"/>
                <w:szCs w:val="22"/>
              </w:rPr>
              <w:t>Additional c</w:t>
            </w:r>
            <w:r w:rsidR="00236AC3">
              <w:rPr>
                <w:rFonts w:ascii="Arial" w:hAnsi="Arial" w:cs="Arial"/>
                <w:snapToGrid w:val="0"/>
                <w:sz w:val="22"/>
                <w:szCs w:val="22"/>
              </w:rPr>
              <w:t>omments</w:t>
            </w:r>
          </w:p>
        </w:tc>
      </w:tr>
      <w:tr w:rsidR="00B265F7" w:rsidRPr="006471C4" w14:paraId="15C43FE4" w14:textId="77777777" w:rsidTr="00D57237">
        <w:tc>
          <w:tcPr>
            <w:tcW w:w="1526" w:type="dxa"/>
          </w:tcPr>
          <w:p w14:paraId="15C43FE2" w14:textId="28EE06D8" w:rsidR="00B265F7" w:rsidRPr="006471C4" w:rsidRDefault="00B265F7" w:rsidP="00E66AAE">
            <w:pPr>
              <w:widowControl w:val="0"/>
              <w:spacing w:after="120"/>
              <w:ind w:right="-716"/>
              <w:rPr>
                <w:rFonts w:ascii="Arial" w:hAnsi="Arial" w:cs="Arial"/>
                <w:b/>
                <w:snapToGrid w:val="0"/>
                <w:sz w:val="22"/>
                <w:szCs w:val="22"/>
              </w:rPr>
            </w:pPr>
            <w:r w:rsidRPr="006471C4">
              <w:rPr>
                <w:rFonts w:ascii="Arial" w:hAnsi="Arial" w:cs="Arial"/>
                <w:b/>
                <w:snapToGrid w:val="0"/>
                <w:sz w:val="22"/>
                <w:szCs w:val="22"/>
              </w:rPr>
              <w:t xml:space="preserve">Part </w:t>
            </w:r>
            <w:r w:rsidR="00236AC3">
              <w:rPr>
                <w:rFonts w:ascii="Arial" w:hAnsi="Arial" w:cs="Arial"/>
                <w:b/>
                <w:snapToGrid w:val="0"/>
                <w:sz w:val="22"/>
                <w:szCs w:val="22"/>
              </w:rPr>
              <w:t>G</w:t>
            </w:r>
          </w:p>
        </w:tc>
        <w:tc>
          <w:tcPr>
            <w:tcW w:w="6804" w:type="dxa"/>
          </w:tcPr>
          <w:p w14:paraId="15C43FE3" w14:textId="77777777" w:rsidR="00B265F7" w:rsidRPr="006471C4" w:rsidRDefault="00B265F7" w:rsidP="00E66AAE">
            <w:pPr>
              <w:widowControl w:val="0"/>
              <w:spacing w:after="120"/>
              <w:ind w:right="113"/>
              <w:rPr>
                <w:rFonts w:ascii="Arial" w:hAnsi="Arial" w:cs="Arial"/>
                <w:snapToGrid w:val="0"/>
                <w:sz w:val="22"/>
                <w:szCs w:val="22"/>
              </w:rPr>
            </w:pPr>
            <w:r w:rsidRPr="006471C4">
              <w:rPr>
                <w:rFonts w:ascii="Arial" w:hAnsi="Arial" w:cs="Arial"/>
                <w:snapToGrid w:val="0"/>
                <w:sz w:val="22"/>
                <w:szCs w:val="22"/>
              </w:rPr>
              <w:t xml:space="preserve">Your declaration </w:t>
            </w:r>
          </w:p>
        </w:tc>
      </w:tr>
    </w:tbl>
    <w:p w14:paraId="41E73EDF" w14:textId="1A3D7CDB" w:rsidR="00DD5191" w:rsidRDefault="00DD5191" w:rsidP="007912C8">
      <w:pPr>
        <w:rPr>
          <w:rFonts w:ascii="Arial" w:hAnsi="Arial" w:cs="Arial"/>
          <w:b/>
          <w:color w:val="000000" w:themeColor="text1"/>
          <w:sz w:val="28"/>
          <w:szCs w:val="28"/>
        </w:rPr>
      </w:pPr>
    </w:p>
    <w:p w14:paraId="5E6C04F4" w14:textId="77777777" w:rsidR="00DD5191" w:rsidRPr="00FD7F0D" w:rsidRDefault="00DD5191" w:rsidP="00DD5191">
      <w:pPr>
        <w:spacing w:after="240"/>
        <w:ind w:right="-51"/>
        <w:jc w:val="center"/>
        <w:rPr>
          <w:rFonts w:ascii="Arial" w:hAnsi="Arial" w:cs="Arial"/>
          <w:b/>
          <w:color w:val="000000" w:themeColor="text1"/>
          <w:sz w:val="28"/>
          <w:szCs w:val="28"/>
        </w:rPr>
      </w:pPr>
      <w:r w:rsidRPr="00FD7F0D">
        <w:rPr>
          <w:rFonts w:ascii="Arial" w:hAnsi="Arial" w:cs="Arial"/>
          <w:b/>
          <w:color w:val="000000" w:themeColor="text1"/>
          <w:sz w:val="28"/>
          <w:szCs w:val="28"/>
        </w:rPr>
        <w:t>Response to Exemption Application</w:t>
      </w:r>
    </w:p>
    <w:p w14:paraId="7106F628" w14:textId="77777777" w:rsidR="00DD5191" w:rsidRPr="00FD7F0D" w:rsidRDefault="00DD5191" w:rsidP="00DD5191">
      <w:pPr>
        <w:spacing w:after="240"/>
        <w:rPr>
          <w:rFonts w:ascii="Arial" w:hAnsi="Arial" w:cs="Arial"/>
          <w:b/>
          <w:snapToGrid w:val="0"/>
          <w:color w:val="000000" w:themeColor="text1"/>
        </w:rPr>
      </w:pPr>
      <w:r w:rsidRPr="00FD7F0D">
        <w:rPr>
          <w:rFonts w:ascii="Arial" w:hAnsi="Arial" w:cs="Arial"/>
          <w:b/>
          <w:snapToGrid w:val="0"/>
          <w:color w:val="000000" w:themeColor="text1"/>
        </w:rPr>
        <w:t xml:space="preserve">PART A – Company Information </w:t>
      </w:r>
    </w:p>
    <w:p w14:paraId="331E3D7D" w14:textId="77777777" w:rsidR="00DD5191" w:rsidRPr="00FD7F0D" w:rsidRDefault="00DD5191" w:rsidP="00DD5191">
      <w:pPr>
        <w:spacing w:after="240"/>
        <w:rPr>
          <w:rFonts w:ascii="Arial" w:hAnsi="Arial" w:cs="Arial"/>
          <w:snapToGrid w:val="0"/>
          <w:color w:val="000000" w:themeColor="text1"/>
          <w:sz w:val="22"/>
          <w:szCs w:val="22"/>
        </w:rPr>
      </w:pPr>
      <w:r w:rsidRPr="00FD7F0D">
        <w:rPr>
          <w:rFonts w:ascii="Arial" w:hAnsi="Arial" w:cs="Arial"/>
          <w:b/>
          <w:snapToGrid w:val="0"/>
          <w:color w:val="000000" w:themeColor="text1"/>
          <w:sz w:val="22"/>
          <w:szCs w:val="22"/>
        </w:rPr>
        <w:t>A.1</w:t>
      </w:r>
      <w:r w:rsidRPr="00FD7F0D">
        <w:rPr>
          <w:rFonts w:ascii="Arial" w:hAnsi="Arial" w:cs="Arial"/>
          <w:snapToGrid w:val="0"/>
          <w:color w:val="000000" w:themeColor="text1"/>
          <w:sz w:val="22"/>
          <w:szCs w:val="22"/>
        </w:rPr>
        <w:t xml:space="preserve"> Please provide the following company contact information;  </w:t>
      </w: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070"/>
      </w:tblGrid>
      <w:tr w:rsidR="00DD5191" w:rsidRPr="00FD7F0D" w14:paraId="4A6A1A80" w14:textId="77777777" w:rsidTr="00CC27E7">
        <w:trPr>
          <w:trHeight w:val="579"/>
        </w:trPr>
        <w:tc>
          <w:tcPr>
            <w:tcW w:w="3528" w:type="dxa"/>
            <w:shd w:val="clear" w:color="auto" w:fill="auto"/>
            <w:vAlign w:val="center"/>
          </w:tcPr>
          <w:p w14:paraId="2A29C00D" w14:textId="77777777" w:rsidR="00DD5191" w:rsidRPr="00FD7F0D" w:rsidRDefault="00DD5191" w:rsidP="00CC27E7">
            <w:pPr>
              <w:widowControl w:val="0"/>
              <w:ind w:right="-716"/>
              <w:rPr>
                <w:rFonts w:ascii="Arial" w:hAnsi="Arial" w:cs="Arial"/>
                <w:snapToGrid w:val="0"/>
                <w:color w:val="000000" w:themeColor="text1"/>
                <w:sz w:val="22"/>
                <w:szCs w:val="22"/>
              </w:rPr>
            </w:pPr>
            <w:r w:rsidRPr="00FD7F0D">
              <w:rPr>
                <w:rFonts w:ascii="Arial" w:hAnsi="Arial" w:cs="Arial"/>
                <w:snapToGrid w:val="0"/>
                <w:color w:val="000000" w:themeColor="text1"/>
                <w:sz w:val="22"/>
                <w:szCs w:val="22"/>
              </w:rPr>
              <w:t>Name:</w:t>
            </w:r>
          </w:p>
        </w:tc>
        <w:tc>
          <w:tcPr>
            <w:tcW w:w="5070" w:type="dxa"/>
            <w:shd w:val="clear" w:color="auto" w:fill="auto"/>
            <w:vAlign w:val="center"/>
          </w:tcPr>
          <w:p w14:paraId="1EB96BD2" w14:textId="77777777" w:rsidR="00DD5191" w:rsidRPr="00FD7F0D" w:rsidRDefault="00DD5191" w:rsidP="00CC27E7">
            <w:pPr>
              <w:widowControl w:val="0"/>
              <w:ind w:right="-716"/>
              <w:rPr>
                <w:rFonts w:ascii="Arial" w:hAnsi="Arial" w:cs="Arial"/>
                <w:snapToGrid w:val="0"/>
                <w:color w:val="000000" w:themeColor="text1"/>
              </w:rPr>
            </w:pPr>
          </w:p>
        </w:tc>
      </w:tr>
      <w:tr w:rsidR="00DD5191" w:rsidRPr="00FD7F0D" w14:paraId="66CE5C02" w14:textId="77777777" w:rsidTr="00CC27E7">
        <w:trPr>
          <w:trHeight w:val="579"/>
        </w:trPr>
        <w:tc>
          <w:tcPr>
            <w:tcW w:w="3528" w:type="dxa"/>
            <w:shd w:val="clear" w:color="auto" w:fill="auto"/>
            <w:vAlign w:val="center"/>
          </w:tcPr>
          <w:p w14:paraId="638777B7" w14:textId="77777777" w:rsidR="00DD5191" w:rsidRPr="00FD7F0D" w:rsidRDefault="00DD5191" w:rsidP="00CC27E7">
            <w:pPr>
              <w:widowControl w:val="0"/>
              <w:ind w:right="-716"/>
              <w:rPr>
                <w:rFonts w:ascii="Arial" w:hAnsi="Arial" w:cs="Arial"/>
                <w:snapToGrid w:val="0"/>
                <w:color w:val="000000" w:themeColor="text1"/>
                <w:sz w:val="22"/>
                <w:szCs w:val="22"/>
              </w:rPr>
            </w:pPr>
            <w:r w:rsidRPr="00FD7F0D">
              <w:rPr>
                <w:rFonts w:ascii="Arial" w:hAnsi="Arial" w:cs="Arial"/>
                <w:snapToGrid w:val="0"/>
                <w:color w:val="000000" w:themeColor="text1"/>
                <w:sz w:val="22"/>
                <w:szCs w:val="22"/>
              </w:rPr>
              <w:t>Position in company:</w:t>
            </w:r>
          </w:p>
        </w:tc>
        <w:tc>
          <w:tcPr>
            <w:tcW w:w="5070" w:type="dxa"/>
            <w:shd w:val="clear" w:color="auto" w:fill="auto"/>
            <w:vAlign w:val="center"/>
          </w:tcPr>
          <w:p w14:paraId="5F0891CD" w14:textId="77777777" w:rsidR="00DD5191" w:rsidRPr="00FD7F0D" w:rsidRDefault="00DD5191" w:rsidP="00CC27E7">
            <w:pPr>
              <w:widowControl w:val="0"/>
              <w:ind w:right="-716"/>
              <w:rPr>
                <w:rFonts w:ascii="Arial" w:hAnsi="Arial" w:cs="Arial"/>
                <w:snapToGrid w:val="0"/>
                <w:color w:val="000000" w:themeColor="text1"/>
                <w:sz w:val="22"/>
                <w:szCs w:val="22"/>
              </w:rPr>
            </w:pPr>
          </w:p>
        </w:tc>
      </w:tr>
      <w:tr w:rsidR="00DD5191" w:rsidRPr="00FD7F0D" w14:paraId="57C6F5D2" w14:textId="77777777" w:rsidTr="00CC27E7">
        <w:trPr>
          <w:trHeight w:val="579"/>
        </w:trPr>
        <w:tc>
          <w:tcPr>
            <w:tcW w:w="3528" w:type="dxa"/>
            <w:shd w:val="clear" w:color="auto" w:fill="auto"/>
            <w:vAlign w:val="center"/>
          </w:tcPr>
          <w:p w14:paraId="15ACA035" w14:textId="77777777" w:rsidR="00DD5191" w:rsidRPr="00FD7F0D" w:rsidRDefault="00DD5191" w:rsidP="00CC27E7">
            <w:pPr>
              <w:widowControl w:val="0"/>
              <w:ind w:right="-716"/>
              <w:rPr>
                <w:rFonts w:ascii="Arial" w:hAnsi="Arial" w:cs="Arial"/>
                <w:snapToGrid w:val="0"/>
                <w:color w:val="000000" w:themeColor="text1"/>
                <w:sz w:val="22"/>
                <w:szCs w:val="22"/>
              </w:rPr>
            </w:pPr>
            <w:r w:rsidRPr="00FD7F0D">
              <w:rPr>
                <w:rFonts w:ascii="Arial" w:hAnsi="Arial" w:cs="Arial"/>
                <w:snapToGrid w:val="0"/>
                <w:color w:val="000000" w:themeColor="text1"/>
                <w:sz w:val="22"/>
                <w:szCs w:val="22"/>
              </w:rPr>
              <w:t>Address:</w:t>
            </w:r>
          </w:p>
        </w:tc>
        <w:tc>
          <w:tcPr>
            <w:tcW w:w="5070" w:type="dxa"/>
            <w:shd w:val="clear" w:color="auto" w:fill="auto"/>
            <w:vAlign w:val="center"/>
          </w:tcPr>
          <w:p w14:paraId="1A8ABED0" w14:textId="77777777" w:rsidR="00DD5191" w:rsidRPr="00FD7F0D" w:rsidRDefault="00DD5191" w:rsidP="00CC27E7">
            <w:pPr>
              <w:widowControl w:val="0"/>
              <w:ind w:right="-716"/>
              <w:rPr>
                <w:rFonts w:ascii="Arial" w:hAnsi="Arial" w:cs="Arial"/>
                <w:snapToGrid w:val="0"/>
                <w:color w:val="000000" w:themeColor="text1"/>
                <w:sz w:val="22"/>
                <w:szCs w:val="22"/>
              </w:rPr>
            </w:pPr>
          </w:p>
        </w:tc>
      </w:tr>
      <w:tr w:rsidR="00DD5191" w:rsidRPr="00FD7F0D" w14:paraId="1203B238" w14:textId="77777777" w:rsidTr="00CC27E7">
        <w:trPr>
          <w:trHeight w:val="502"/>
        </w:trPr>
        <w:tc>
          <w:tcPr>
            <w:tcW w:w="3528" w:type="dxa"/>
            <w:shd w:val="clear" w:color="auto" w:fill="auto"/>
            <w:vAlign w:val="center"/>
          </w:tcPr>
          <w:p w14:paraId="06D16557" w14:textId="77777777" w:rsidR="00DD5191" w:rsidRPr="00FD7F0D" w:rsidRDefault="00DD5191" w:rsidP="00CC27E7">
            <w:pPr>
              <w:widowControl w:val="0"/>
              <w:ind w:right="-716"/>
              <w:rPr>
                <w:rFonts w:ascii="Arial" w:hAnsi="Arial" w:cs="Arial"/>
                <w:snapToGrid w:val="0"/>
                <w:color w:val="000000" w:themeColor="text1"/>
                <w:sz w:val="22"/>
                <w:szCs w:val="22"/>
              </w:rPr>
            </w:pPr>
            <w:r w:rsidRPr="00FD7F0D">
              <w:rPr>
                <w:rFonts w:ascii="Arial" w:hAnsi="Arial" w:cs="Arial"/>
                <w:snapToGrid w:val="0"/>
                <w:color w:val="000000" w:themeColor="text1"/>
                <w:sz w:val="22"/>
                <w:szCs w:val="22"/>
              </w:rPr>
              <w:t>Telephone:</w:t>
            </w:r>
          </w:p>
        </w:tc>
        <w:tc>
          <w:tcPr>
            <w:tcW w:w="5070" w:type="dxa"/>
            <w:shd w:val="clear" w:color="auto" w:fill="auto"/>
            <w:vAlign w:val="center"/>
          </w:tcPr>
          <w:p w14:paraId="2A296B3C" w14:textId="77777777" w:rsidR="00DD5191" w:rsidRPr="00FD7F0D" w:rsidRDefault="00DD5191" w:rsidP="00CC27E7">
            <w:pPr>
              <w:widowControl w:val="0"/>
              <w:ind w:right="-716"/>
              <w:rPr>
                <w:rFonts w:ascii="Arial" w:hAnsi="Arial" w:cs="Arial"/>
                <w:snapToGrid w:val="0"/>
                <w:color w:val="000000" w:themeColor="text1"/>
                <w:sz w:val="22"/>
                <w:szCs w:val="22"/>
              </w:rPr>
            </w:pPr>
          </w:p>
        </w:tc>
      </w:tr>
      <w:tr w:rsidR="00DD5191" w:rsidRPr="00FD7F0D" w14:paraId="00B1A8D3" w14:textId="77777777" w:rsidTr="00CC27E7">
        <w:trPr>
          <w:trHeight w:val="573"/>
        </w:trPr>
        <w:tc>
          <w:tcPr>
            <w:tcW w:w="3528" w:type="dxa"/>
            <w:shd w:val="clear" w:color="auto" w:fill="auto"/>
            <w:vAlign w:val="center"/>
          </w:tcPr>
          <w:p w14:paraId="32D8C485" w14:textId="77777777" w:rsidR="00DD5191" w:rsidRPr="00FD7F0D" w:rsidRDefault="00DD5191" w:rsidP="00CC27E7">
            <w:pPr>
              <w:widowControl w:val="0"/>
              <w:ind w:right="-716"/>
              <w:rPr>
                <w:rFonts w:ascii="Arial" w:hAnsi="Arial" w:cs="Arial"/>
                <w:snapToGrid w:val="0"/>
                <w:color w:val="000000" w:themeColor="text1"/>
                <w:sz w:val="22"/>
                <w:szCs w:val="22"/>
              </w:rPr>
            </w:pPr>
            <w:r w:rsidRPr="00FD7F0D">
              <w:rPr>
                <w:rFonts w:ascii="Arial" w:hAnsi="Arial" w:cs="Arial"/>
                <w:snapToGrid w:val="0"/>
                <w:color w:val="000000" w:themeColor="text1"/>
                <w:sz w:val="22"/>
                <w:szCs w:val="22"/>
              </w:rPr>
              <w:t>Facsimile number:</w:t>
            </w:r>
          </w:p>
        </w:tc>
        <w:tc>
          <w:tcPr>
            <w:tcW w:w="5070" w:type="dxa"/>
            <w:shd w:val="clear" w:color="auto" w:fill="auto"/>
            <w:vAlign w:val="center"/>
          </w:tcPr>
          <w:p w14:paraId="40F7E24E" w14:textId="77777777" w:rsidR="00DD5191" w:rsidRPr="00FD7F0D" w:rsidRDefault="00DD5191" w:rsidP="00CC27E7">
            <w:pPr>
              <w:widowControl w:val="0"/>
              <w:ind w:right="-716"/>
              <w:rPr>
                <w:rFonts w:ascii="Arial" w:hAnsi="Arial" w:cs="Arial"/>
                <w:snapToGrid w:val="0"/>
                <w:color w:val="000000" w:themeColor="text1"/>
                <w:sz w:val="22"/>
                <w:szCs w:val="22"/>
              </w:rPr>
            </w:pPr>
          </w:p>
        </w:tc>
      </w:tr>
      <w:tr w:rsidR="00DD5191" w:rsidRPr="00FD7F0D" w14:paraId="5B7B1083" w14:textId="77777777" w:rsidTr="00CC27E7">
        <w:trPr>
          <w:trHeight w:val="579"/>
        </w:trPr>
        <w:tc>
          <w:tcPr>
            <w:tcW w:w="3528" w:type="dxa"/>
            <w:tcBorders>
              <w:bottom w:val="single" w:sz="4" w:space="0" w:color="auto"/>
            </w:tcBorders>
            <w:shd w:val="clear" w:color="auto" w:fill="auto"/>
            <w:vAlign w:val="center"/>
          </w:tcPr>
          <w:p w14:paraId="3AA65C00" w14:textId="77777777" w:rsidR="00DD5191" w:rsidRPr="00FD7F0D" w:rsidRDefault="00DD5191" w:rsidP="00CC27E7">
            <w:pPr>
              <w:widowControl w:val="0"/>
              <w:ind w:right="-716"/>
              <w:rPr>
                <w:rFonts w:ascii="Arial" w:hAnsi="Arial" w:cs="Arial"/>
                <w:snapToGrid w:val="0"/>
                <w:color w:val="000000" w:themeColor="text1"/>
                <w:sz w:val="22"/>
                <w:szCs w:val="22"/>
              </w:rPr>
            </w:pPr>
            <w:r w:rsidRPr="00FD7F0D">
              <w:rPr>
                <w:rFonts w:ascii="Arial" w:hAnsi="Arial" w:cs="Arial"/>
                <w:snapToGrid w:val="0"/>
                <w:color w:val="000000" w:themeColor="text1"/>
                <w:sz w:val="22"/>
                <w:szCs w:val="22"/>
              </w:rPr>
              <w:t>E-mail address of contact person:</w:t>
            </w:r>
          </w:p>
        </w:tc>
        <w:tc>
          <w:tcPr>
            <w:tcW w:w="5070" w:type="dxa"/>
            <w:tcBorders>
              <w:bottom w:val="single" w:sz="4" w:space="0" w:color="auto"/>
            </w:tcBorders>
            <w:shd w:val="clear" w:color="auto" w:fill="auto"/>
            <w:vAlign w:val="center"/>
          </w:tcPr>
          <w:p w14:paraId="1B24526E" w14:textId="77777777" w:rsidR="00DD5191" w:rsidRPr="00FD7F0D" w:rsidRDefault="00DD5191" w:rsidP="00CC27E7">
            <w:pPr>
              <w:widowControl w:val="0"/>
              <w:ind w:right="-716"/>
              <w:rPr>
                <w:rFonts w:ascii="Arial" w:hAnsi="Arial" w:cs="Arial"/>
                <w:snapToGrid w:val="0"/>
                <w:color w:val="000000" w:themeColor="text1"/>
                <w:sz w:val="22"/>
                <w:szCs w:val="22"/>
              </w:rPr>
            </w:pPr>
          </w:p>
        </w:tc>
      </w:tr>
    </w:tbl>
    <w:p w14:paraId="1B356788" w14:textId="77777777" w:rsidR="00DD5191" w:rsidRPr="00FD7F0D" w:rsidRDefault="00DD5191" w:rsidP="00DD5191">
      <w:pPr>
        <w:rPr>
          <w:rFonts w:ascii="Arial" w:hAnsi="Arial" w:cs="Arial"/>
          <w:b/>
          <w:color w:val="000000" w:themeColor="text1"/>
          <w:lang w:val="en-US"/>
        </w:rPr>
      </w:pPr>
    </w:p>
    <w:p w14:paraId="6AD17C22" w14:textId="77777777" w:rsidR="00DD5191" w:rsidRPr="00FD7F0D" w:rsidRDefault="00DD5191" w:rsidP="00DD5191">
      <w:pPr>
        <w:spacing w:after="240"/>
        <w:rPr>
          <w:rFonts w:ascii="Arial" w:hAnsi="Arial" w:cs="Arial"/>
          <w:b/>
          <w:snapToGrid w:val="0"/>
          <w:color w:val="000000" w:themeColor="text1"/>
        </w:rPr>
      </w:pPr>
      <w:r w:rsidRPr="00FD7F0D">
        <w:rPr>
          <w:rFonts w:ascii="Arial" w:hAnsi="Arial" w:cs="Arial"/>
          <w:b/>
          <w:snapToGrid w:val="0"/>
          <w:color w:val="000000" w:themeColor="text1"/>
        </w:rPr>
        <w:t xml:space="preserve">PART B – Response to Exemption Application </w:t>
      </w:r>
    </w:p>
    <w:p w14:paraId="0194193E" w14:textId="77777777" w:rsidR="00DD5191" w:rsidRPr="00FD7F0D" w:rsidRDefault="00DD5191" w:rsidP="00DD5191">
      <w:pPr>
        <w:keepNext/>
        <w:spacing w:after="240"/>
        <w:rPr>
          <w:rFonts w:ascii="Arial" w:hAnsi="Arial" w:cs="Arial"/>
          <w:color w:val="000000" w:themeColor="text1"/>
          <w:sz w:val="22"/>
          <w:szCs w:val="22"/>
          <w:lang w:val="en-US"/>
        </w:rPr>
      </w:pPr>
      <w:r w:rsidRPr="00FD7F0D">
        <w:rPr>
          <w:rFonts w:ascii="Arial" w:hAnsi="Arial" w:cs="Arial"/>
          <w:b/>
          <w:color w:val="000000" w:themeColor="text1"/>
          <w:sz w:val="22"/>
          <w:szCs w:val="22"/>
          <w:lang w:val="en-US"/>
        </w:rPr>
        <w:t>B.1</w:t>
      </w:r>
      <w:r w:rsidRPr="00FD7F0D">
        <w:rPr>
          <w:rFonts w:ascii="Arial" w:hAnsi="Arial" w:cs="Arial"/>
          <w:color w:val="000000" w:themeColor="text1"/>
          <w:sz w:val="22"/>
          <w:szCs w:val="22"/>
          <w:lang w:val="en-US"/>
        </w:rPr>
        <w:t xml:space="preserve"> </w:t>
      </w:r>
    </w:p>
    <w:p w14:paraId="299920CA" w14:textId="77777777" w:rsidR="00DD5191"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Does your company oppose or not consent to the request for an exemption?</w:t>
      </w:r>
    </w:p>
    <w:p w14:paraId="71A79F41" w14:textId="6EE6EB82" w:rsidR="00DD5191" w:rsidRPr="00FD7F0D" w:rsidRDefault="00DD5191" w:rsidP="00DD5191">
      <w:pPr>
        <w:spacing w:after="240"/>
        <w:rPr>
          <w:rFonts w:ascii="Arial" w:hAnsi="Arial" w:cs="Arial"/>
          <w:b/>
          <w:color w:val="000000" w:themeColor="text1"/>
          <w:sz w:val="22"/>
          <w:szCs w:val="22"/>
          <w:u w:val="single"/>
          <w:lang w:val="en-US"/>
        </w:rPr>
      </w:pPr>
      <w:r w:rsidRPr="00FD7F0D">
        <w:rPr>
          <w:rFonts w:ascii="Arial" w:hAnsi="Arial" w:cs="Arial"/>
          <w:b/>
          <w:color w:val="000000" w:themeColor="text1"/>
          <w:sz w:val="22"/>
          <w:szCs w:val="22"/>
          <w:u w:val="single"/>
          <w:lang w:val="en-US"/>
        </w:rPr>
        <w:t xml:space="preserve">NOTE: If your company does not oppose the request for an exemption, you do not need to complete </w:t>
      </w:r>
      <w:r>
        <w:rPr>
          <w:rFonts w:ascii="Arial" w:hAnsi="Arial" w:cs="Arial"/>
          <w:b/>
          <w:color w:val="000000" w:themeColor="text1"/>
          <w:sz w:val="22"/>
          <w:szCs w:val="22"/>
          <w:u w:val="single"/>
          <w:lang w:val="en-US"/>
        </w:rPr>
        <w:t xml:space="preserve">all parts of </w:t>
      </w:r>
      <w:r w:rsidRPr="00FD7F0D">
        <w:rPr>
          <w:rFonts w:ascii="Arial" w:hAnsi="Arial" w:cs="Arial"/>
          <w:b/>
          <w:color w:val="000000" w:themeColor="text1"/>
          <w:sz w:val="22"/>
          <w:szCs w:val="22"/>
          <w:u w:val="single"/>
          <w:lang w:val="en-US"/>
        </w:rPr>
        <w:t>the questionnaire.  Please indicate that you do not oppose the request</w:t>
      </w:r>
      <w:r>
        <w:rPr>
          <w:rFonts w:ascii="Arial" w:hAnsi="Arial" w:cs="Arial"/>
          <w:b/>
          <w:color w:val="000000" w:themeColor="text1"/>
          <w:sz w:val="22"/>
          <w:szCs w:val="22"/>
          <w:u w:val="single"/>
          <w:lang w:val="en-US"/>
        </w:rPr>
        <w:t xml:space="preserve"> (stating the reasons why)</w:t>
      </w:r>
      <w:r w:rsidRPr="00FD7F0D">
        <w:rPr>
          <w:rFonts w:ascii="Arial" w:hAnsi="Arial" w:cs="Arial"/>
          <w:b/>
          <w:color w:val="000000" w:themeColor="text1"/>
          <w:sz w:val="22"/>
          <w:szCs w:val="22"/>
          <w:u w:val="single"/>
          <w:lang w:val="en-US"/>
        </w:rPr>
        <w:t>,</w:t>
      </w:r>
      <w:r>
        <w:rPr>
          <w:rFonts w:ascii="Arial" w:hAnsi="Arial" w:cs="Arial"/>
          <w:b/>
          <w:color w:val="000000" w:themeColor="text1"/>
          <w:sz w:val="22"/>
          <w:szCs w:val="22"/>
          <w:u w:val="single"/>
          <w:lang w:val="en-US"/>
        </w:rPr>
        <w:t xml:space="preserve"> answer the questions that are relevant to your reasons for not opposing the request,</w:t>
      </w:r>
      <w:r w:rsidRPr="00FD7F0D">
        <w:rPr>
          <w:rFonts w:ascii="Arial" w:hAnsi="Arial" w:cs="Arial"/>
          <w:b/>
          <w:color w:val="000000" w:themeColor="text1"/>
          <w:sz w:val="22"/>
          <w:szCs w:val="22"/>
          <w:u w:val="single"/>
          <w:lang w:val="en-US"/>
        </w:rPr>
        <w:t xml:space="preserve"> sign and return the form as soon as possible. </w:t>
      </w:r>
    </w:p>
    <w:p w14:paraId="46957C2C" w14:textId="77777777" w:rsidR="00DD5191" w:rsidRPr="00FD7F0D" w:rsidRDefault="00DD5191" w:rsidP="00DD5191">
      <w:pPr>
        <w:spacing w:after="240"/>
        <w:rPr>
          <w:rFonts w:ascii="Arial" w:hAnsi="Arial" w:cs="Arial"/>
          <w:b/>
          <w:snapToGrid w:val="0"/>
          <w:color w:val="000000" w:themeColor="text1"/>
        </w:rPr>
      </w:pPr>
      <w:r w:rsidRPr="00FD7F0D">
        <w:rPr>
          <w:rFonts w:ascii="Arial" w:hAnsi="Arial" w:cs="Arial"/>
          <w:b/>
          <w:snapToGrid w:val="0"/>
          <w:color w:val="000000" w:themeColor="text1"/>
        </w:rPr>
        <w:t xml:space="preserve">PART C – Identical Goods </w:t>
      </w:r>
    </w:p>
    <w:p w14:paraId="6FC96BB0" w14:textId="77777777" w:rsidR="00DD5191" w:rsidRPr="00FD7F0D" w:rsidRDefault="00DD5191" w:rsidP="00DD5191">
      <w:pPr>
        <w:keepNext/>
        <w:spacing w:after="240"/>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t>C.1</w:t>
      </w:r>
    </w:p>
    <w:p w14:paraId="1D3538A0" w14:textId="77777777" w:rsidR="00DD5191"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Does your company produce, in Australia, goods that are identical in all respects to the goods described in section 5 of this ‘Response to Exemption Form’?</w:t>
      </w:r>
    </w:p>
    <w:p w14:paraId="6A2EB7A6" w14:textId="77777777" w:rsidR="00DD5191" w:rsidRPr="00FD7F0D"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If no, go to Part D - Like or directly competitive goods. </w:t>
      </w:r>
    </w:p>
    <w:p w14:paraId="1D4855AA" w14:textId="77777777" w:rsidR="00DD5191" w:rsidRPr="00FD7F0D" w:rsidRDefault="00DD5191" w:rsidP="00DD5191">
      <w:pPr>
        <w:keepNext/>
        <w:spacing w:after="240"/>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lastRenderedPageBreak/>
        <w:t xml:space="preserve">C.2 </w:t>
      </w:r>
    </w:p>
    <w:p w14:paraId="7B0B25FC" w14:textId="77777777" w:rsidR="00DD5191"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Please provide evidence that you have produced and sold in Australia, in the last 12 months, goods that are identical in all respects to the goods subject to this application for exemption.  </w:t>
      </w:r>
    </w:p>
    <w:p w14:paraId="72FA2565" w14:textId="77777777" w:rsidR="00DD5191" w:rsidRDefault="00DD5191" w:rsidP="00D40CE5">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Evidence can be in the form of production reports and sales invoices. To the extent that production reports or sales invoices do not refer to the goods in the same detail as set out in the description of the goods (section 5), please provide additional information that indicates that identical goods have been produced or sold. The evidence should be attached to this form to ensure that it can be linked to this specific response. Please also include any available product literature respecting the identical goods you have produced and sold. </w:t>
      </w:r>
    </w:p>
    <w:p w14:paraId="30090B7E" w14:textId="77777777" w:rsidR="00DD5191" w:rsidRPr="00FD7F0D" w:rsidRDefault="00DD5191" w:rsidP="00DD5191">
      <w:pPr>
        <w:keepNext/>
        <w:spacing w:after="240"/>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t xml:space="preserve">C.3 </w:t>
      </w:r>
    </w:p>
    <w:p w14:paraId="660AA5DB" w14:textId="77777777" w:rsidR="00DD5191"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Provide evidence of the terms and conditions of sale of these identical goods. Are these products available to all purchasers on equal terms under like conditions? If so, provide evidence and explain why you consider that these products are available to all purchasers on equal terms under like conditions. </w:t>
      </w:r>
    </w:p>
    <w:p w14:paraId="5BB2A39D" w14:textId="77777777" w:rsidR="00DD5191" w:rsidRDefault="00DD5191" w:rsidP="00D40CE5">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Evidence can be in the form of sales invoices, sales contracts, sales reports or advertisements and brochures. </w:t>
      </w:r>
    </w:p>
    <w:p w14:paraId="5FA816BB" w14:textId="77777777" w:rsidR="00DD5191" w:rsidRPr="00FD7F0D" w:rsidRDefault="00DD5191" w:rsidP="00DD5191">
      <w:pPr>
        <w:spacing w:after="240"/>
        <w:rPr>
          <w:rFonts w:ascii="Arial" w:hAnsi="Arial" w:cs="Arial"/>
          <w:b/>
          <w:snapToGrid w:val="0"/>
          <w:color w:val="000000" w:themeColor="text1"/>
        </w:rPr>
      </w:pPr>
      <w:r w:rsidRPr="00FD7F0D">
        <w:rPr>
          <w:rFonts w:ascii="Arial" w:hAnsi="Arial" w:cs="Arial"/>
          <w:b/>
          <w:snapToGrid w:val="0"/>
          <w:color w:val="000000" w:themeColor="text1"/>
        </w:rPr>
        <w:t>PART D – Like or Directly Competitive Goods</w:t>
      </w:r>
    </w:p>
    <w:p w14:paraId="4E7CEAA9" w14:textId="77777777" w:rsidR="00DD5191" w:rsidRPr="00FD7F0D" w:rsidRDefault="00DD5191" w:rsidP="00DD5191">
      <w:pPr>
        <w:keepNext/>
        <w:spacing w:after="240"/>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t xml:space="preserve">D.1 </w:t>
      </w:r>
    </w:p>
    <w:p w14:paraId="2943305C" w14:textId="77777777" w:rsidR="00DD5191"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If your company does not produce identical goods, does it produce and sell in Australia goods that are like or directly competitive to the goods subject to this application for exemption?</w:t>
      </w:r>
    </w:p>
    <w:p w14:paraId="35582358" w14:textId="77777777" w:rsidR="00DD5191" w:rsidRPr="00FD7F0D"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In determining whether the goods are like or directly competitive, the Commission will consider whether the goods have characteristics closely resembling each other and are substitutable.  </w:t>
      </w:r>
    </w:p>
    <w:p w14:paraId="1150BAD1" w14:textId="77777777" w:rsidR="00DD5191" w:rsidRPr="00FD7F0D" w:rsidRDefault="00DD5191" w:rsidP="00DD5191">
      <w:pPr>
        <w:spacing w:after="240"/>
        <w:ind w:left="72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The Commission may also consider;  </w:t>
      </w:r>
    </w:p>
    <w:p w14:paraId="611BA137" w14:textId="77777777" w:rsidR="00DD5191" w:rsidRPr="00FD7F0D" w:rsidRDefault="00DD5191" w:rsidP="00DD5191">
      <w:pPr>
        <w:numPr>
          <w:ilvl w:val="0"/>
          <w:numId w:val="1"/>
        </w:numPr>
        <w:tabs>
          <w:tab w:val="clear" w:pos="720"/>
          <w:tab w:val="num" w:pos="1440"/>
        </w:tabs>
        <w:spacing w:after="240"/>
        <w:ind w:left="144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t>whether physical characteristics of the goods are similar (including size, weight, shape, content, appearance, grade, standards, age, strength and purity);</w:t>
      </w:r>
    </w:p>
    <w:p w14:paraId="7C04AB25" w14:textId="77777777" w:rsidR="00DD5191" w:rsidRPr="00FD7F0D" w:rsidRDefault="00DD5191" w:rsidP="00DD5191">
      <w:pPr>
        <w:numPr>
          <w:ilvl w:val="0"/>
          <w:numId w:val="1"/>
        </w:numPr>
        <w:tabs>
          <w:tab w:val="clear" w:pos="720"/>
          <w:tab w:val="num" w:pos="1440"/>
        </w:tabs>
        <w:spacing w:after="240"/>
        <w:ind w:left="144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whether the goods are commercially alike, this may include consideration of the following; </w:t>
      </w:r>
    </w:p>
    <w:p w14:paraId="5A26A76C" w14:textId="77777777" w:rsidR="00DD5191" w:rsidRPr="00FD7F0D" w:rsidRDefault="00DD5191" w:rsidP="00DD5191">
      <w:pPr>
        <w:numPr>
          <w:ilvl w:val="1"/>
          <w:numId w:val="3"/>
        </w:numPr>
        <w:tabs>
          <w:tab w:val="clear" w:pos="1440"/>
          <w:tab w:val="num" w:pos="2160"/>
        </w:tabs>
        <w:spacing w:after="240"/>
        <w:ind w:left="216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whether the goods directly compete in the same market sector; </w:t>
      </w:r>
    </w:p>
    <w:p w14:paraId="17F1B32D" w14:textId="77777777" w:rsidR="00DD5191" w:rsidRPr="00FD7F0D" w:rsidRDefault="00DD5191" w:rsidP="00DD5191">
      <w:pPr>
        <w:numPr>
          <w:ilvl w:val="1"/>
          <w:numId w:val="3"/>
        </w:numPr>
        <w:tabs>
          <w:tab w:val="clear" w:pos="1440"/>
          <w:tab w:val="num" w:pos="2160"/>
        </w:tabs>
        <w:spacing w:after="240"/>
        <w:ind w:left="216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the extent to which participants in the supply chain are willing to switch between the goods and the goods subject to the application for exemption; </w:t>
      </w:r>
    </w:p>
    <w:p w14:paraId="2E739021" w14:textId="77777777" w:rsidR="00DD5191" w:rsidRPr="00FD7F0D" w:rsidRDefault="00DD5191" w:rsidP="00DD5191">
      <w:pPr>
        <w:numPr>
          <w:ilvl w:val="1"/>
          <w:numId w:val="3"/>
        </w:numPr>
        <w:tabs>
          <w:tab w:val="clear" w:pos="1440"/>
          <w:tab w:val="num" w:pos="2160"/>
        </w:tabs>
        <w:spacing w:after="240"/>
        <w:ind w:left="216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how the price of the goods and goods subject to the application influences consumption; </w:t>
      </w:r>
    </w:p>
    <w:p w14:paraId="226D001B" w14:textId="77777777" w:rsidR="00DD5191" w:rsidRPr="00FD7F0D" w:rsidRDefault="00DD5191" w:rsidP="00DD5191">
      <w:pPr>
        <w:numPr>
          <w:ilvl w:val="1"/>
          <w:numId w:val="3"/>
        </w:numPr>
        <w:tabs>
          <w:tab w:val="clear" w:pos="1440"/>
          <w:tab w:val="num" w:pos="2160"/>
        </w:tabs>
        <w:spacing w:after="240"/>
        <w:ind w:left="216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t>whether the goods share similar distribution channels; and</w:t>
      </w:r>
    </w:p>
    <w:p w14:paraId="4AA9D58A" w14:textId="77777777" w:rsidR="00DD5191" w:rsidRPr="00FD7F0D" w:rsidRDefault="00DD5191" w:rsidP="00DD5191">
      <w:pPr>
        <w:numPr>
          <w:ilvl w:val="1"/>
          <w:numId w:val="3"/>
        </w:numPr>
        <w:tabs>
          <w:tab w:val="clear" w:pos="1440"/>
          <w:tab w:val="num" w:pos="2160"/>
        </w:tabs>
        <w:spacing w:after="240"/>
        <w:ind w:left="2160" w:hanging="357"/>
        <w:contextualSpacing/>
        <w:rPr>
          <w:rFonts w:ascii="Arial" w:hAnsi="Arial" w:cs="Arial"/>
          <w:color w:val="000000" w:themeColor="text1"/>
          <w:sz w:val="22"/>
          <w:szCs w:val="22"/>
          <w:lang w:val="en-US"/>
        </w:rPr>
      </w:pPr>
      <w:proofErr w:type="gramStart"/>
      <w:r w:rsidRPr="00FD7F0D">
        <w:rPr>
          <w:rFonts w:ascii="Arial" w:hAnsi="Arial" w:cs="Arial"/>
          <w:color w:val="000000" w:themeColor="text1"/>
          <w:sz w:val="22"/>
          <w:szCs w:val="22"/>
          <w:lang w:val="en-US"/>
        </w:rPr>
        <w:t>whether</w:t>
      </w:r>
      <w:proofErr w:type="gramEnd"/>
      <w:r w:rsidRPr="00FD7F0D">
        <w:rPr>
          <w:rFonts w:ascii="Arial" w:hAnsi="Arial" w:cs="Arial"/>
          <w:color w:val="000000" w:themeColor="text1"/>
          <w:sz w:val="22"/>
          <w:szCs w:val="22"/>
          <w:lang w:val="en-US"/>
        </w:rPr>
        <w:t xml:space="preserve"> the goods are similarly packaged. </w:t>
      </w:r>
    </w:p>
    <w:p w14:paraId="7071DEC7" w14:textId="77777777" w:rsidR="00DD5191" w:rsidRPr="00FD7F0D" w:rsidRDefault="00DD5191" w:rsidP="00DD5191">
      <w:pPr>
        <w:numPr>
          <w:ilvl w:val="0"/>
          <w:numId w:val="1"/>
        </w:numPr>
        <w:tabs>
          <w:tab w:val="clear" w:pos="720"/>
          <w:tab w:val="num" w:pos="1440"/>
        </w:tabs>
        <w:spacing w:after="240"/>
        <w:ind w:left="144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functional likeness – whether the goods are suitable with regard to end use, this may include an assessment of; </w:t>
      </w:r>
    </w:p>
    <w:p w14:paraId="5B7C7BB7" w14:textId="77777777" w:rsidR="00DD5191" w:rsidRPr="00FD7F0D" w:rsidRDefault="00DD5191" w:rsidP="00DD5191">
      <w:pPr>
        <w:numPr>
          <w:ilvl w:val="1"/>
          <w:numId w:val="4"/>
        </w:numPr>
        <w:tabs>
          <w:tab w:val="clear" w:pos="1440"/>
          <w:tab w:val="num" w:pos="2160"/>
        </w:tabs>
        <w:spacing w:after="240"/>
        <w:ind w:left="216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the extent to which the goods are functionally substitutable; </w:t>
      </w:r>
    </w:p>
    <w:p w14:paraId="51A30C66" w14:textId="77777777" w:rsidR="00DD5191" w:rsidRPr="00FD7F0D" w:rsidRDefault="00DD5191" w:rsidP="00DD5191">
      <w:pPr>
        <w:numPr>
          <w:ilvl w:val="1"/>
          <w:numId w:val="4"/>
        </w:numPr>
        <w:tabs>
          <w:tab w:val="clear" w:pos="1440"/>
          <w:tab w:val="num" w:pos="2160"/>
        </w:tabs>
        <w:spacing w:after="240"/>
        <w:ind w:left="216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lastRenderedPageBreak/>
        <w:t xml:space="preserve">the extent to which the goods are capable of performing the same or similar function; </w:t>
      </w:r>
    </w:p>
    <w:p w14:paraId="771F74A0" w14:textId="77777777" w:rsidR="00DD5191" w:rsidRPr="00FD7F0D" w:rsidRDefault="00DD5191" w:rsidP="00DD5191">
      <w:pPr>
        <w:numPr>
          <w:ilvl w:val="1"/>
          <w:numId w:val="4"/>
        </w:numPr>
        <w:tabs>
          <w:tab w:val="clear" w:pos="1440"/>
          <w:tab w:val="num" w:pos="2160"/>
        </w:tabs>
        <w:spacing w:after="240"/>
        <w:ind w:left="216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whether the goods have the same or similar quality standards; and </w:t>
      </w:r>
    </w:p>
    <w:p w14:paraId="0CCA1A96" w14:textId="77777777" w:rsidR="00DD5191" w:rsidRPr="00FD7F0D" w:rsidRDefault="00DD5191" w:rsidP="00DD5191">
      <w:pPr>
        <w:numPr>
          <w:ilvl w:val="1"/>
          <w:numId w:val="4"/>
        </w:numPr>
        <w:tabs>
          <w:tab w:val="clear" w:pos="1440"/>
          <w:tab w:val="num" w:pos="2160"/>
        </w:tabs>
        <w:spacing w:after="240"/>
        <w:ind w:left="2160" w:hanging="357"/>
        <w:contextualSpacing/>
        <w:rPr>
          <w:rFonts w:ascii="Arial" w:hAnsi="Arial" w:cs="Arial"/>
          <w:color w:val="000000" w:themeColor="text1"/>
          <w:sz w:val="22"/>
          <w:szCs w:val="22"/>
          <w:lang w:val="en-US"/>
        </w:rPr>
      </w:pPr>
      <w:proofErr w:type="gramStart"/>
      <w:r w:rsidRPr="00FD7F0D">
        <w:rPr>
          <w:rFonts w:ascii="Arial" w:hAnsi="Arial" w:cs="Arial"/>
          <w:color w:val="000000" w:themeColor="text1"/>
          <w:sz w:val="22"/>
          <w:szCs w:val="22"/>
          <w:lang w:val="en-US"/>
        </w:rPr>
        <w:t>consumer</w:t>
      </w:r>
      <w:proofErr w:type="gramEnd"/>
      <w:r w:rsidRPr="00FD7F0D">
        <w:rPr>
          <w:rFonts w:ascii="Arial" w:hAnsi="Arial" w:cs="Arial"/>
          <w:color w:val="000000" w:themeColor="text1"/>
          <w:sz w:val="22"/>
          <w:szCs w:val="22"/>
          <w:lang w:val="en-US"/>
        </w:rPr>
        <w:t xml:space="preserve"> behavior in relation to the goods and goods subject to this application for exemption. </w:t>
      </w:r>
    </w:p>
    <w:p w14:paraId="406A94BB" w14:textId="77777777" w:rsidR="00DD5191" w:rsidRPr="00FD7F0D" w:rsidRDefault="00DD5191" w:rsidP="00DD5191">
      <w:pPr>
        <w:numPr>
          <w:ilvl w:val="0"/>
          <w:numId w:val="1"/>
        </w:numPr>
        <w:tabs>
          <w:tab w:val="clear" w:pos="720"/>
          <w:tab w:val="num" w:pos="1440"/>
        </w:tabs>
        <w:spacing w:after="240"/>
        <w:ind w:left="144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production likeness, this may include an assessment of; </w:t>
      </w:r>
    </w:p>
    <w:p w14:paraId="53D8922A" w14:textId="77777777" w:rsidR="00DD5191" w:rsidRPr="00FD7F0D" w:rsidRDefault="00DD5191" w:rsidP="00DD5191">
      <w:pPr>
        <w:numPr>
          <w:ilvl w:val="1"/>
          <w:numId w:val="5"/>
        </w:numPr>
        <w:tabs>
          <w:tab w:val="clear" w:pos="1440"/>
          <w:tab w:val="num" w:pos="2160"/>
        </w:tabs>
        <w:spacing w:after="240"/>
        <w:ind w:left="216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the extent to which the goods are constructed of the same or similar materials; </w:t>
      </w:r>
    </w:p>
    <w:p w14:paraId="366C32FE" w14:textId="77777777" w:rsidR="00DD5191" w:rsidRPr="00FD7F0D" w:rsidRDefault="00DD5191" w:rsidP="00DD5191">
      <w:pPr>
        <w:numPr>
          <w:ilvl w:val="1"/>
          <w:numId w:val="5"/>
        </w:numPr>
        <w:tabs>
          <w:tab w:val="clear" w:pos="1440"/>
          <w:tab w:val="num" w:pos="2160"/>
        </w:tabs>
        <w:spacing w:after="240"/>
        <w:ind w:left="2160" w:hanging="357"/>
        <w:contextualSpacing/>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the manufacturing process of the goods; and </w:t>
      </w:r>
    </w:p>
    <w:p w14:paraId="6FED1D07" w14:textId="77777777" w:rsidR="00DD5191" w:rsidRDefault="00DD5191" w:rsidP="00DD5191">
      <w:pPr>
        <w:numPr>
          <w:ilvl w:val="1"/>
          <w:numId w:val="5"/>
        </w:numPr>
        <w:tabs>
          <w:tab w:val="clear" w:pos="1440"/>
          <w:tab w:val="num" w:pos="2160"/>
        </w:tabs>
        <w:spacing w:after="240"/>
        <w:ind w:left="2160" w:hanging="357"/>
        <w:contextualSpacing/>
        <w:rPr>
          <w:rFonts w:ascii="Arial" w:hAnsi="Arial" w:cs="Arial"/>
          <w:color w:val="000000" w:themeColor="text1"/>
          <w:sz w:val="22"/>
          <w:szCs w:val="22"/>
          <w:lang w:val="en-US"/>
        </w:rPr>
      </w:pPr>
      <w:proofErr w:type="gramStart"/>
      <w:r w:rsidRPr="00FD7F0D">
        <w:rPr>
          <w:rFonts w:ascii="Arial" w:hAnsi="Arial" w:cs="Arial"/>
          <w:color w:val="000000" w:themeColor="text1"/>
          <w:sz w:val="22"/>
          <w:szCs w:val="22"/>
          <w:lang w:val="en-US"/>
        </w:rPr>
        <w:t>whether</w:t>
      </w:r>
      <w:proofErr w:type="gramEnd"/>
      <w:r w:rsidRPr="00FD7F0D">
        <w:rPr>
          <w:rFonts w:ascii="Arial" w:hAnsi="Arial" w:cs="Arial"/>
          <w:color w:val="000000" w:themeColor="text1"/>
          <w:sz w:val="22"/>
          <w:szCs w:val="22"/>
          <w:lang w:val="en-US"/>
        </w:rPr>
        <w:t xml:space="preserve"> any patented processes or inputs are involved in the production of the goods. </w:t>
      </w:r>
    </w:p>
    <w:p w14:paraId="767F7ED0" w14:textId="77777777" w:rsidR="00DD5191" w:rsidRPr="00FD7F0D" w:rsidRDefault="00DD5191" w:rsidP="00DD5191">
      <w:pPr>
        <w:spacing w:after="240"/>
        <w:contextualSpacing/>
        <w:rPr>
          <w:rFonts w:ascii="Arial" w:hAnsi="Arial" w:cs="Arial"/>
          <w:color w:val="000000" w:themeColor="text1"/>
          <w:sz w:val="22"/>
          <w:szCs w:val="22"/>
          <w:lang w:val="en-US"/>
        </w:rPr>
      </w:pPr>
    </w:p>
    <w:p w14:paraId="1430F9B6" w14:textId="77777777" w:rsidR="00DD5191" w:rsidRPr="00FD7F0D" w:rsidRDefault="00DD5191" w:rsidP="00DD5191">
      <w:pPr>
        <w:keepNext/>
        <w:spacing w:after="240"/>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t xml:space="preserve">D.2 </w:t>
      </w:r>
    </w:p>
    <w:p w14:paraId="35E8703E" w14:textId="77777777" w:rsidR="00DD5191" w:rsidRPr="00FD7F0D"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If you answered yes to question D.1, please provide a description of the goods produced by your company that you consider to be like or directly competitive to the goods subject to this application. Your description of the goods your company produces should refer to all aspects of the goods as set out in the description of the goods in section 5. </w:t>
      </w: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4299"/>
      </w:tblGrid>
      <w:tr w:rsidR="00DD5191" w:rsidRPr="00FD7F0D" w14:paraId="09F50909" w14:textId="77777777" w:rsidTr="00CC27E7">
        <w:trPr>
          <w:trHeight w:val="359"/>
        </w:trPr>
        <w:tc>
          <w:tcPr>
            <w:tcW w:w="4299" w:type="dxa"/>
            <w:shd w:val="clear" w:color="auto" w:fill="auto"/>
          </w:tcPr>
          <w:p w14:paraId="3126CC0C" w14:textId="77777777" w:rsidR="00DD5191" w:rsidRPr="00FD7F0D" w:rsidRDefault="00DD5191" w:rsidP="00CC27E7">
            <w:pPr>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t xml:space="preserve">Characteristics </w:t>
            </w:r>
          </w:p>
        </w:tc>
        <w:tc>
          <w:tcPr>
            <w:tcW w:w="4299" w:type="dxa"/>
            <w:shd w:val="clear" w:color="auto" w:fill="auto"/>
          </w:tcPr>
          <w:p w14:paraId="386EB3D0" w14:textId="77777777" w:rsidR="00DD5191" w:rsidRPr="00FD7F0D" w:rsidRDefault="00DD5191" w:rsidP="00CC27E7">
            <w:pPr>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t xml:space="preserve">Description </w:t>
            </w:r>
          </w:p>
        </w:tc>
      </w:tr>
      <w:tr w:rsidR="00DD5191" w:rsidRPr="00FD7F0D" w14:paraId="7221D87C" w14:textId="77777777" w:rsidTr="00CC27E7">
        <w:trPr>
          <w:trHeight w:val="159"/>
        </w:trPr>
        <w:tc>
          <w:tcPr>
            <w:tcW w:w="4299" w:type="dxa"/>
            <w:shd w:val="clear" w:color="auto" w:fill="auto"/>
          </w:tcPr>
          <w:p w14:paraId="186842EA" w14:textId="77777777" w:rsidR="00DD5191" w:rsidRPr="00FD7F0D" w:rsidRDefault="00DD5191" w:rsidP="00CC27E7">
            <w:pPr>
              <w:rPr>
                <w:rFonts w:ascii="Arial" w:hAnsi="Arial" w:cs="Arial"/>
                <w:color w:val="000000" w:themeColor="text1"/>
                <w:sz w:val="22"/>
                <w:szCs w:val="22"/>
                <w:lang w:val="en-US"/>
              </w:rPr>
            </w:pPr>
          </w:p>
        </w:tc>
        <w:tc>
          <w:tcPr>
            <w:tcW w:w="4299" w:type="dxa"/>
            <w:shd w:val="clear" w:color="auto" w:fill="auto"/>
          </w:tcPr>
          <w:p w14:paraId="72DBB7AA" w14:textId="77777777" w:rsidR="00DD5191" w:rsidRPr="00FD7F0D" w:rsidRDefault="00DD5191" w:rsidP="00CC27E7">
            <w:pPr>
              <w:rPr>
                <w:rFonts w:ascii="Arial" w:hAnsi="Arial" w:cs="Arial"/>
                <w:color w:val="000000" w:themeColor="text1"/>
                <w:sz w:val="22"/>
                <w:szCs w:val="22"/>
                <w:lang w:val="en-US"/>
              </w:rPr>
            </w:pPr>
          </w:p>
        </w:tc>
      </w:tr>
      <w:tr w:rsidR="00DD5191" w:rsidRPr="00FD7F0D" w14:paraId="0FFB711E" w14:textId="77777777" w:rsidTr="00CC27E7">
        <w:trPr>
          <w:trHeight w:val="227"/>
        </w:trPr>
        <w:tc>
          <w:tcPr>
            <w:tcW w:w="4299" w:type="dxa"/>
            <w:shd w:val="clear" w:color="auto" w:fill="auto"/>
          </w:tcPr>
          <w:p w14:paraId="177B0443" w14:textId="77777777" w:rsidR="00DD5191" w:rsidRPr="00FD7F0D" w:rsidRDefault="00DD5191" w:rsidP="00CC27E7">
            <w:pPr>
              <w:rPr>
                <w:rFonts w:ascii="Arial" w:hAnsi="Arial" w:cs="Arial"/>
                <w:color w:val="000000" w:themeColor="text1"/>
                <w:sz w:val="22"/>
                <w:szCs w:val="22"/>
                <w:lang w:val="en-US"/>
              </w:rPr>
            </w:pPr>
          </w:p>
        </w:tc>
        <w:tc>
          <w:tcPr>
            <w:tcW w:w="4299" w:type="dxa"/>
            <w:shd w:val="clear" w:color="auto" w:fill="auto"/>
          </w:tcPr>
          <w:p w14:paraId="655F3184" w14:textId="77777777" w:rsidR="00DD5191" w:rsidRPr="00FD7F0D" w:rsidRDefault="00DD5191" w:rsidP="00CC27E7">
            <w:pPr>
              <w:rPr>
                <w:rFonts w:ascii="Arial" w:hAnsi="Arial" w:cs="Arial"/>
                <w:color w:val="000000" w:themeColor="text1"/>
                <w:sz w:val="22"/>
                <w:szCs w:val="22"/>
                <w:lang w:val="en-US"/>
              </w:rPr>
            </w:pPr>
          </w:p>
        </w:tc>
      </w:tr>
      <w:tr w:rsidR="00DD5191" w:rsidRPr="00FD7F0D" w14:paraId="5033B3DA" w14:textId="77777777" w:rsidTr="00CC27E7">
        <w:trPr>
          <w:trHeight w:val="256"/>
        </w:trPr>
        <w:tc>
          <w:tcPr>
            <w:tcW w:w="4299" w:type="dxa"/>
            <w:shd w:val="clear" w:color="auto" w:fill="auto"/>
          </w:tcPr>
          <w:p w14:paraId="3C2F4F69" w14:textId="77777777" w:rsidR="00DD5191" w:rsidRPr="00FD7F0D" w:rsidRDefault="00DD5191" w:rsidP="00CC27E7">
            <w:pPr>
              <w:rPr>
                <w:rFonts w:ascii="Arial" w:hAnsi="Arial" w:cs="Arial"/>
                <w:color w:val="000000" w:themeColor="text1"/>
                <w:sz w:val="22"/>
                <w:szCs w:val="22"/>
                <w:lang w:val="en-US"/>
              </w:rPr>
            </w:pPr>
          </w:p>
        </w:tc>
        <w:tc>
          <w:tcPr>
            <w:tcW w:w="4299" w:type="dxa"/>
            <w:shd w:val="clear" w:color="auto" w:fill="auto"/>
          </w:tcPr>
          <w:p w14:paraId="7E063BDE" w14:textId="77777777" w:rsidR="00DD5191" w:rsidRPr="00FD7F0D" w:rsidRDefault="00DD5191" w:rsidP="00CC27E7">
            <w:pPr>
              <w:rPr>
                <w:rFonts w:ascii="Arial" w:hAnsi="Arial" w:cs="Arial"/>
                <w:color w:val="000000" w:themeColor="text1"/>
                <w:sz w:val="22"/>
                <w:szCs w:val="22"/>
                <w:lang w:val="en-US"/>
              </w:rPr>
            </w:pPr>
          </w:p>
        </w:tc>
      </w:tr>
      <w:tr w:rsidR="00DD5191" w:rsidRPr="00FD7F0D" w14:paraId="2EA678C0" w14:textId="77777777" w:rsidTr="00CC27E7">
        <w:trPr>
          <w:trHeight w:val="255"/>
        </w:trPr>
        <w:tc>
          <w:tcPr>
            <w:tcW w:w="4299" w:type="dxa"/>
            <w:shd w:val="clear" w:color="auto" w:fill="auto"/>
          </w:tcPr>
          <w:p w14:paraId="6A8783F1" w14:textId="77777777" w:rsidR="00DD5191" w:rsidRPr="00FD7F0D" w:rsidRDefault="00DD5191" w:rsidP="00CC27E7">
            <w:pPr>
              <w:rPr>
                <w:rFonts w:ascii="Arial" w:hAnsi="Arial" w:cs="Arial"/>
                <w:color w:val="000000" w:themeColor="text1"/>
                <w:sz w:val="22"/>
                <w:szCs w:val="22"/>
                <w:lang w:val="en-US"/>
              </w:rPr>
            </w:pPr>
          </w:p>
        </w:tc>
        <w:tc>
          <w:tcPr>
            <w:tcW w:w="4299" w:type="dxa"/>
            <w:shd w:val="clear" w:color="auto" w:fill="auto"/>
          </w:tcPr>
          <w:p w14:paraId="6BDD94E8" w14:textId="77777777" w:rsidR="00DD5191" w:rsidRPr="00FD7F0D" w:rsidRDefault="00DD5191" w:rsidP="00CC27E7">
            <w:pPr>
              <w:rPr>
                <w:rFonts w:ascii="Arial" w:hAnsi="Arial" w:cs="Arial"/>
                <w:color w:val="000000" w:themeColor="text1"/>
                <w:sz w:val="22"/>
                <w:szCs w:val="22"/>
                <w:lang w:val="en-US"/>
              </w:rPr>
            </w:pPr>
          </w:p>
        </w:tc>
      </w:tr>
      <w:tr w:rsidR="00DD5191" w:rsidRPr="00FD7F0D" w14:paraId="61EF6554" w14:textId="77777777" w:rsidTr="00CC27E7">
        <w:trPr>
          <w:trHeight w:val="161"/>
        </w:trPr>
        <w:tc>
          <w:tcPr>
            <w:tcW w:w="4299" w:type="dxa"/>
            <w:shd w:val="clear" w:color="auto" w:fill="auto"/>
          </w:tcPr>
          <w:p w14:paraId="437329F4" w14:textId="77777777" w:rsidR="00DD5191" w:rsidRPr="00FD7F0D" w:rsidRDefault="00DD5191" w:rsidP="00CC27E7">
            <w:pPr>
              <w:rPr>
                <w:rFonts w:ascii="Arial" w:hAnsi="Arial" w:cs="Arial"/>
                <w:color w:val="000000" w:themeColor="text1"/>
                <w:sz w:val="22"/>
                <w:szCs w:val="22"/>
                <w:lang w:val="en-US"/>
              </w:rPr>
            </w:pPr>
          </w:p>
        </w:tc>
        <w:tc>
          <w:tcPr>
            <w:tcW w:w="4299" w:type="dxa"/>
            <w:shd w:val="clear" w:color="auto" w:fill="auto"/>
          </w:tcPr>
          <w:p w14:paraId="341D4511" w14:textId="77777777" w:rsidR="00DD5191" w:rsidRPr="00FD7F0D" w:rsidRDefault="00DD5191" w:rsidP="00CC27E7">
            <w:pPr>
              <w:rPr>
                <w:rFonts w:ascii="Arial" w:hAnsi="Arial" w:cs="Arial"/>
                <w:color w:val="000000" w:themeColor="text1"/>
                <w:sz w:val="22"/>
                <w:szCs w:val="22"/>
                <w:lang w:val="en-US"/>
              </w:rPr>
            </w:pPr>
          </w:p>
        </w:tc>
      </w:tr>
      <w:tr w:rsidR="00DD5191" w:rsidRPr="00FD7F0D" w14:paraId="12C7BED4" w14:textId="77777777" w:rsidTr="00CC27E7">
        <w:trPr>
          <w:trHeight w:val="66"/>
        </w:trPr>
        <w:tc>
          <w:tcPr>
            <w:tcW w:w="4299" w:type="dxa"/>
            <w:shd w:val="clear" w:color="auto" w:fill="auto"/>
          </w:tcPr>
          <w:p w14:paraId="380F44A6" w14:textId="77777777" w:rsidR="00DD5191" w:rsidRPr="00FD7F0D" w:rsidRDefault="00DD5191" w:rsidP="00CC27E7">
            <w:pPr>
              <w:rPr>
                <w:rFonts w:ascii="Arial" w:hAnsi="Arial" w:cs="Arial"/>
                <w:color w:val="000000" w:themeColor="text1"/>
                <w:sz w:val="22"/>
                <w:szCs w:val="22"/>
                <w:lang w:val="en-US"/>
              </w:rPr>
            </w:pPr>
          </w:p>
        </w:tc>
        <w:tc>
          <w:tcPr>
            <w:tcW w:w="4299" w:type="dxa"/>
            <w:shd w:val="clear" w:color="auto" w:fill="auto"/>
          </w:tcPr>
          <w:p w14:paraId="3CC954D2" w14:textId="77777777" w:rsidR="00DD5191" w:rsidRPr="00FD7F0D" w:rsidRDefault="00DD5191" w:rsidP="00CC27E7">
            <w:pPr>
              <w:rPr>
                <w:rFonts w:ascii="Arial" w:hAnsi="Arial" w:cs="Arial"/>
                <w:color w:val="000000" w:themeColor="text1"/>
                <w:sz w:val="22"/>
                <w:szCs w:val="22"/>
                <w:lang w:val="en-US"/>
              </w:rPr>
            </w:pPr>
          </w:p>
        </w:tc>
      </w:tr>
    </w:tbl>
    <w:p w14:paraId="13F089E2" w14:textId="77777777" w:rsidR="00DD5191" w:rsidRPr="00FD7F0D" w:rsidRDefault="00DD5191" w:rsidP="00DD5191">
      <w:pPr>
        <w:rPr>
          <w:rFonts w:ascii="Arial" w:hAnsi="Arial" w:cs="Arial"/>
          <w:color w:val="000000" w:themeColor="text1"/>
          <w:sz w:val="22"/>
          <w:szCs w:val="22"/>
          <w:lang w:val="en-US"/>
        </w:rPr>
      </w:pPr>
    </w:p>
    <w:p w14:paraId="0DE665CB" w14:textId="77777777" w:rsidR="00DD5191" w:rsidRPr="00FD7F0D" w:rsidRDefault="00DD5191" w:rsidP="00D40CE5">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Please provide evidence that the goods you consider like or directly competitive to the goods subject to this application for exemption have recently been produced or sold in Australia by your company. Evidence can be in the form of production reports and sales invoices. To the extent that production reports or sales invoices do not refer to the goods described in the above table, please provide additional information that indicates that the goods have been produced or sold. The evidence should be attached to this form to ensure that it can be linked to this specific response. Please also include any available product literature concerning the like or directly competitive goods you produced and sold. </w:t>
      </w:r>
    </w:p>
    <w:p w14:paraId="5ADBC32F" w14:textId="77777777" w:rsidR="00DD5191" w:rsidRPr="00FD7F0D" w:rsidRDefault="00DD5191" w:rsidP="00DD5191">
      <w:pPr>
        <w:keepNext/>
        <w:spacing w:after="240"/>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t xml:space="preserve">D.3 </w:t>
      </w:r>
    </w:p>
    <w:p w14:paraId="3BDBC2E2" w14:textId="77777777" w:rsidR="00DD5191" w:rsidRPr="00FD7F0D"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Provide evidence of the terms and conditions of sale of these like or directly competitive products. Are these products available to all purchasers on equal terms under like conditions? If so, provide evidence and explain why you consider that these products are available to all purchasers on equal terms under like conditions.</w:t>
      </w:r>
    </w:p>
    <w:p w14:paraId="78D025A6" w14:textId="77777777" w:rsidR="00DD5191" w:rsidRDefault="00DD5191" w:rsidP="00D40CE5">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Evidence can be in the form of sales invoices, sales contracts, sales reports or advertisements and brochures. </w:t>
      </w:r>
    </w:p>
    <w:p w14:paraId="3207DBCC" w14:textId="76ADC9E7" w:rsidR="00DD5191" w:rsidRPr="00FD7F0D" w:rsidRDefault="00DD5191" w:rsidP="00DD5191">
      <w:pPr>
        <w:spacing w:after="240"/>
        <w:rPr>
          <w:rFonts w:ascii="Arial" w:hAnsi="Arial" w:cs="Arial"/>
          <w:b/>
          <w:snapToGrid w:val="0"/>
          <w:color w:val="000000" w:themeColor="text1"/>
        </w:rPr>
      </w:pPr>
      <w:r w:rsidRPr="00FD7F0D">
        <w:rPr>
          <w:rFonts w:ascii="Arial" w:hAnsi="Arial" w:cs="Arial"/>
          <w:b/>
          <w:snapToGrid w:val="0"/>
          <w:color w:val="000000" w:themeColor="text1"/>
        </w:rPr>
        <w:t xml:space="preserve">PART E – Capability to Produce Identical or Like or Directly </w:t>
      </w:r>
      <w:r w:rsidR="00610090">
        <w:rPr>
          <w:rFonts w:ascii="Arial" w:hAnsi="Arial" w:cs="Arial"/>
          <w:b/>
          <w:snapToGrid w:val="0"/>
          <w:color w:val="000000" w:themeColor="text1"/>
        </w:rPr>
        <w:t xml:space="preserve">Competitive </w:t>
      </w:r>
      <w:r w:rsidRPr="00FD7F0D">
        <w:rPr>
          <w:rFonts w:ascii="Arial" w:hAnsi="Arial" w:cs="Arial"/>
          <w:b/>
          <w:snapToGrid w:val="0"/>
          <w:color w:val="000000" w:themeColor="text1"/>
        </w:rPr>
        <w:t xml:space="preserve">Products </w:t>
      </w:r>
    </w:p>
    <w:p w14:paraId="7287E6B7" w14:textId="77777777" w:rsidR="00DD5191" w:rsidRPr="00FD7F0D" w:rsidRDefault="00DD5191" w:rsidP="00DD5191">
      <w:pPr>
        <w:keepNext/>
        <w:spacing w:after="240"/>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lastRenderedPageBreak/>
        <w:t xml:space="preserve">E.1 </w:t>
      </w:r>
    </w:p>
    <w:p w14:paraId="62AAF0DE" w14:textId="77777777" w:rsidR="00DD5191" w:rsidRPr="00FD7F0D"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If your company has not produced and sold in Australia products that are identical to, or like or directly competitive to the goods subject to this application for exemption, is your company capable of producing such goods?</w:t>
      </w:r>
    </w:p>
    <w:p w14:paraId="52E74E30" w14:textId="77777777" w:rsidR="00DD5191" w:rsidRPr="00FD7F0D" w:rsidRDefault="00DD5191" w:rsidP="00DD5191">
      <w:pPr>
        <w:keepNext/>
        <w:spacing w:after="240"/>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t>E.2</w:t>
      </w:r>
    </w:p>
    <w:p w14:paraId="0EAF639A" w14:textId="77777777" w:rsidR="00DD5191" w:rsidRPr="00FD7F0D"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If you answered yes to question E.1, indicate whether the product that you can produce is identical to, or like or directly competitive to the goods subject to this application for exemption. </w:t>
      </w:r>
    </w:p>
    <w:p w14:paraId="798CCE74" w14:textId="77777777" w:rsidR="00DD5191" w:rsidRPr="00FD7F0D" w:rsidRDefault="00DD5191" w:rsidP="00DD5191">
      <w:pPr>
        <w:keepNext/>
        <w:spacing w:after="240"/>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t xml:space="preserve">E.3 </w:t>
      </w:r>
    </w:p>
    <w:p w14:paraId="29D92B3B" w14:textId="77777777" w:rsidR="00DD5191" w:rsidRPr="00FD7F0D"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If you are capable of producing identical, like or directly competitive goods, explain why you have not produced such goods. </w:t>
      </w:r>
    </w:p>
    <w:p w14:paraId="0B5C5047" w14:textId="77777777" w:rsidR="00DD5191" w:rsidRPr="00FD7F0D" w:rsidRDefault="00DD5191" w:rsidP="00D40CE5">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Provide evidence of your production capability, including evidence of the production and sale of similar products, certification of the identical, like or directly competitive goods and at what cost they could be produced, as well as any plans for the imminent production of the goods or orders for the goods and any relevant information. </w:t>
      </w:r>
    </w:p>
    <w:p w14:paraId="6F805F19" w14:textId="77777777" w:rsidR="00DD5191" w:rsidRPr="00FD7F0D" w:rsidRDefault="00DD5191" w:rsidP="00DD5191">
      <w:pPr>
        <w:keepNext/>
        <w:spacing w:after="240"/>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t xml:space="preserve">E.4 </w:t>
      </w:r>
    </w:p>
    <w:p w14:paraId="2ACD41D6" w14:textId="77777777" w:rsidR="00DD5191" w:rsidRPr="00FD7F0D"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If you are capable of producing identical, like or directly competitive goods, provide reasonable evidence of likely terms and conditions of sale for these goods. </w:t>
      </w:r>
    </w:p>
    <w:p w14:paraId="1F637D0B" w14:textId="77777777" w:rsidR="00DD5191" w:rsidRPr="00FD7F0D" w:rsidRDefault="00DD5191" w:rsidP="00DD5191">
      <w:pPr>
        <w:spacing w:after="240"/>
        <w:rPr>
          <w:rFonts w:ascii="Arial" w:hAnsi="Arial" w:cs="Arial"/>
          <w:b/>
          <w:snapToGrid w:val="0"/>
          <w:color w:val="000000" w:themeColor="text1"/>
        </w:rPr>
      </w:pPr>
      <w:r w:rsidRPr="00FD7F0D">
        <w:rPr>
          <w:rFonts w:ascii="Arial" w:hAnsi="Arial" w:cs="Arial"/>
          <w:b/>
          <w:snapToGrid w:val="0"/>
          <w:color w:val="000000" w:themeColor="text1"/>
        </w:rPr>
        <w:t xml:space="preserve">PART F – Additional Comments </w:t>
      </w:r>
    </w:p>
    <w:p w14:paraId="46C0E1B8" w14:textId="77777777" w:rsidR="00DD5191" w:rsidRPr="00FD7F0D" w:rsidRDefault="00DD5191" w:rsidP="00DD5191">
      <w:pPr>
        <w:keepNext/>
        <w:spacing w:after="240"/>
        <w:rPr>
          <w:rFonts w:ascii="Arial" w:hAnsi="Arial" w:cs="Arial"/>
          <w:b/>
          <w:color w:val="000000" w:themeColor="text1"/>
          <w:sz w:val="22"/>
          <w:szCs w:val="22"/>
          <w:lang w:val="en-US"/>
        </w:rPr>
      </w:pPr>
      <w:r w:rsidRPr="00FD7F0D">
        <w:rPr>
          <w:rFonts w:ascii="Arial" w:hAnsi="Arial" w:cs="Arial"/>
          <w:b/>
          <w:color w:val="000000" w:themeColor="text1"/>
          <w:sz w:val="22"/>
          <w:szCs w:val="22"/>
          <w:lang w:val="en-US"/>
        </w:rPr>
        <w:t xml:space="preserve">F.1 </w:t>
      </w:r>
    </w:p>
    <w:p w14:paraId="70A017B3" w14:textId="77777777" w:rsidR="00DD5191" w:rsidRPr="00FD7F0D" w:rsidRDefault="00DD5191" w:rsidP="00DD5191">
      <w:pPr>
        <w:spacing w:after="240"/>
        <w:rPr>
          <w:rFonts w:ascii="Arial" w:hAnsi="Arial" w:cs="Arial"/>
          <w:color w:val="000000" w:themeColor="text1"/>
          <w:sz w:val="22"/>
          <w:szCs w:val="22"/>
          <w:lang w:val="en-US"/>
        </w:rPr>
      </w:pPr>
      <w:r w:rsidRPr="00FD7F0D">
        <w:rPr>
          <w:rFonts w:ascii="Arial" w:hAnsi="Arial" w:cs="Arial"/>
          <w:color w:val="000000" w:themeColor="text1"/>
          <w:sz w:val="22"/>
          <w:szCs w:val="22"/>
          <w:lang w:val="en-US"/>
        </w:rPr>
        <w:t xml:space="preserve">Provide any additional comments including any other information that will assist Commission in reaching a recommendation to the </w:t>
      </w:r>
      <w:r w:rsidRPr="00FD7F0D">
        <w:rPr>
          <w:rFonts w:ascii="Arial" w:hAnsi="Arial" w:cs="Arial"/>
          <w:color w:val="000000" w:themeColor="text1"/>
          <w:sz w:val="22"/>
          <w:szCs w:val="22"/>
        </w:rPr>
        <w:t>Parliamentary Secretary</w:t>
      </w:r>
      <w:r w:rsidRPr="00FD7F0D">
        <w:rPr>
          <w:rFonts w:ascii="Arial" w:hAnsi="Arial" w:cs="Arial"/>
          <w:color w:val="000000" w:themeColor="text1"/>
          <w:sz w:val="22"/>
          <w:szCs w:val="22"/>
          <w:lang w:val="en-US"/>
        </w:rPr>
        <w:t xml:space="preserve"> regarding this application for exemption. </w:t>
      </w:r>
    </w:p>
    <w:p w14:paraId="48BA0F49" w14:textId="77777777" w:rsidR="00DD5191" w:rsidRPr="00FD7F0D" w:rsidRDefault="00DD5191" w:rsidP="00DD5191">
      <w:pPr>
        <w:spacing w:after="240"/>
        <w:rPr>
          <w:rFonts w:ascii="Arial" w:hAnsi="Arial" w:cs="Arial"/>
          <w:b/>
          <w:snapToGrid w:val="0"/>
          <w:color w:val="000000" w:themeColor="text1"/>
        </w:rPr>
      </w:pPr>
      <w:r w:rsidRPr="00FD7F0D">
        <w:rPr>
          <w:rFonts w:ascii="Arial" w:hAnsi="Arial" w:cs="Arial"/>
          <w:b/>
          <w:snapToGrid w:val="0"/>
          <w:color w:val="000000" w:themeColor="text1"/>
        </w:rPr>
        <w:t xml:space="preserve">PART G – Declaration  </w:t>
      </w:r>
    </w:p>
    <w:p w14:paraId="24E934AB" w14:textId="77777777" w:rsidR="00DD5191" w:rsidRPr="00FD7F0D" w:rsidRDefault="00DD5191" w:rsidP="00D40CE5">
      <w:pPr>
        <w:widowControl w:val="0"/>
        <w:spacing w:after="240"/>
        <w:rPr>
          <w:rFonts w:ascii="Arial" w:hAnsi="Arial" w:cs="Arial"/>
          <w:snapToGrid w:val="0"/>
          <w:color w:val="000000" w:themeColor="text1"/>
        </w:rPr>
      </w:pPr>
      <w:r w:rsidRPr="00FD7F0D">
        <w:rPr>
          <w:rFonts w:ascii="Arial" w:hAnsi="Arial" w:cs="Arial"/>
          <w:snapToGrid w:val="0"/>
          <w:color w:val="000000" w:themeColor="text1"/>
        </w:rPr>
        <w:t>I hereby declare that</w:t>
      </w:r>
      <w:proofErr w:type="gramStart"/>
      <w:r w:rsidRPr="00FD7F0D">
        <w:rPr>
          <w:rFonts w:ascii="Arial" w:hAnsi="Arial" w:cs="Arial"/>
          <w:snapToGrid w:val="0"/>
          <w:color w:val="000000" w:themeColor="text1"/>
        </w:rPr>
        <w:t>.............................................................(</w:t>
      </w:r>
      <w:proofErr w:type="gramEnd"/>
      <w:r w:rsidRPr="00FD7F0D">
        <w:rPr>
          <w:rFonts w:ascii="Arial" w:hAnsi="Arial" w:cs="Arial"/>
          <w:snapToGrid w:val="0"/>
          <w:color w:val="000000" w:themeColor="text1"/>
        </w:rPr>
        <w:t>company)</w:t>
      </w:r>
      <w:r w:rsidRPr="00FD7F0D">
        <w:rPr>
          <w:rFonts w:ascii="Arial" w:hAnsi="Arial" w:cs="Arial"/>
          <w:snapToGrid w:val="0"/>
          <w:color w:val="000000" w:themeColor="text1"/>
        </w:rPr>
        <w:br/>
        <w:t xml:space="preserve">has completed the attached response to application for exemption and, having made due inquiry, certify that the information contained in this submission is complete and correct to the best of my knowledge and belief. </w:t>
      </w:r>
    </w:p>
    <w:p w14:paraId="21965319" w14:textId="77777777" w:rsidR="00DD5191" w:rsidRPr="00FD7F0D" w:rsidRDefault="00DD5191" w:rsidP="00DD5191">
      <w:pPr>
        <w:spacing w:after="240"/>
        <w:rPr>
          <w:rFonts w:ascii="Arial" w:hAnsi="Arial" w:cs="Arial"/>
          <w:b/>
          <w:snapToGrid w:val="0"/>
          <w:color w:val="000000" w:themeColor="text1"/>
        </w:rPr>
      </w:pPr>
      <w:proofErr w:type="gramStart"/>
      <w:r w:rsidRPr="00FD7F0D">
        <w:rPr>
          <w:rFonts w:ascii="Arial" w:hAnsi="Arial" w:cs="Arial"/>
          <w:b/>
          <w:snapToGrid w:val="0"/>
          <w:color w:val="000000" w:themeColor="text1"/>
        </w:rPr>
        <w:t xml:space="preserve">Name </w:t>
      </w:r>
      <w:r w:rsidRPr="00FD7F0D">
        <w:rPr>
          <w:rFonts w:ascii="Arial" w:hAnsi="Arial" w:cs="Arial"/>
          <w:b/>
          <w:snapToGrid w:val="0"/>
          <w:color w:val="000000" w:themeColor="text1"/>
        </w:rPr>
        <w:tab/>
        <w:t>:.............................................................................</w:t>
      </w:r>
      <w:proofErr w:type="gramEnd"/>
    </w:p>
    <w:p w14:paraId="1EFEAACB" w14:textId="77777777" w:rsidR="00DD5191" w:rsidRPr="00FD7F0D" w:rsidRDefault="00DD5191" w:rsidP="00DD5191">
      <w:pPr>
        <w:spacing w:after="240"/>
        <w:rPr>
          <w:rFonts w:ascii="Arial" w:hAnsi="Arial" w:cs="Arial"/>
          <w:b/>
          <w:snapToGrid w:val="0"/>
          <w:color w:val="000000" w:themeColor="text1"/>
        </w:rPr>
      </w:pPr>
      <w:proofErr w:type="gramStart"/>
      <w:r w:rsidRPr="00FD7F0D">
        <w:rPr>
          <w:rFonts w:ascii="Arial" w:hAnsi="Arial" w:cs="Arial"/>
          <w:b/>
          <w:snapToGrid w:val="0"/>
          <w:color w:val="000000" w:themeColor="text1"/>
        </w:rPr>
        <w:t xml:space="preserve">Signature </w:t>
      </w:r>
      <w:r w:rsidRPr="00FD7F0D">
        <w:rPr>
          <w:rFonts w:ascii="Arial" w:hAnsi="Arial" w:cs="Arial"/>
          <w:b/>
          <w:snapToGrid w:val="0"/>
          <w:color w:val="000000" w:themeColor="text1"/>
        </w:rPr>
        <w:tab/>
        <w:t>:.............................................................................</w:t>
      </w:r>
      <w:proofErr w:type="gramEnd"/>
    </w:p>
    <w:p w14:paraId="2AEAF6E1" w14:textId="77777777" w:rsidR="00DD5191" w:rsidRPr="00FD7F0D" w:rsidRDefault="00DD5191" w:rsidP="00DD5191">
      <w:pPr>
        <w:spacing w:after="240"/>
        <w:rPr>
          <w:rFonts w:ascii="Arial" w:hAnsi="Arial" w:cs="Arial"/>
          <w:b/>
          <w:snapToGrid w:val="0"/>
          <w:color w:val="000000" w:themeColor="text1"/>
        </w:rPr>
      </w:pPr>
      <w:r w:rsidRPr="00FD7F0D">
        <w:rPr>
          <w:rFonts w:ascii="Arial" w:hAnsi="Arial" w:cs="Arial"/>
          <w:b/>
          <w:snapToGrid w:val="0"/>
          <w:color w:val="000000" w:themeColor="text1"/>
        </w:rPr>
        <w:t xml:space="preserve">Position in </w:t>
      </w:r>
      <w:r w:rsidRPr="00FD7F0D">
        <w:rPr>
          <w:rFonts w:ascii="Arial" w:hAnsi="Arial" w:cs="Arial"/>
          <w:b/>
          <w:snapToGrid w:val="0"/>
          <w:color w:val="000000" w:themeColor="text1"/>
        </w:rPr>
        <w:br/>
      </w:r>
      <w:proofErr w:type="gramStart"/>
      <w:r w:rsidRPr="00FD7F0D">
        <w:rPr>
          <w:rFonts w:ascii="Arial" w:hAnsi="Arial" w:cs="Arial"/>
          <w:b/>
          <w:snapToGrid w:val="0"/>
          <w:color w:val="000000" w:themeColor="text1"/>
        </w:rPr>
        <w:t>Company</w:t>
      </w:r>
      <w:r w:rsidRPr="00FD7F0D">
        <w:rPr>
          <w:rFonts w:ascii="Arial" w:hAnsi="Arial" w:cs="Arial"/>
          <w:b/>
          <w:snapToGrid w:val="0"/>
          <w:color w:val="000000" w:themeColor="text1"/>
        </w:rPr>
        <w:tab/>
        <w:t>:.............................................................................</w:t>
      </w:r>
      <w:proofErr w:type="gramEnd"/>
    </w:p>
    <w:p w14:paraId="130DD402" w14:textId="77777777" w:rsidR="00DD5191" w:rsidRPr="00FD7F0D" w:rsidRDefault="00DD5191" w:rsidP="00DD5191">
      <w:pPr>
        <w:spacing w:after="240"/>
        <w:rPr>
          <w:rFonts w:ascii="Arial" w:hAnsi="Arial" w:cs="Arial"/>
          <w:b/>
          <w:snapToGrid w:val="0"/>
          <w:color w:val="000000" w:themeColor="text1"/>
        </w:rPr>
      </w:pPr>
      <w:r w:rsidRPr="00FD7F0D">
        <w:rPr>
          <w:rFonts w:ascii="Arial" w:hAnsi="Arial" w:cs="Arial"/>
          <w:b/>
          <w:snapToGrid w:val="0"/>
          <w:color w:val="000000" w:themeColor="text1"/>
        </w:rPr>
        <w:t>Date</w:t>
      </w:r>
      <w:proofErr w:type="gramStart"/>
      <w:r w:rsidRPr="00FD7F0D">
        <w:rPr>
          <w:rFonts w:ascii="Arial" w:hAnsi="Arial" w:cs="Arial"/>
          <w:b/>
          <w:snapToGrid w:val="0"/>
          <w:color w:val="000000" w:themeColor="text1"/>
        </w:rPr>
        <w:tab/>
      </w:r>
      <w:r w:rsidRPr="00FD7F0D">
        <w:rPr>
          <w:rFonts w:ascii="Arial" w:hAnsi="Arial" w:cs="Arial"/>
          <w:b/>
          <w:snapToGrid w:val="0"/>
          <w:color w:val="000000" w:themeColor="text1"/>
        </w:rPr>
        <w:tab/>
        <w:t>:.............................................................................</w:t>
      </w:r>
      <w:proofErr w:type="gramEnd"/>
    </w:p>
    <w:sectPr w:rsidR="00DD5191" w:rsidRPr="00FD7F0D">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4401E" w14:textId="77777777" w:rsidR="008F420A" w:rsidRDefault="008F420A" w:rsidP="003A1B6F">
      <w:r>
        <w:separator/>
      </w:r>
    </w:p>
  </w:endnote>
  <w:endnote w:type="continuationSeparator" w:id="0">
    <w:p w14:paraId="15C4401F" w14:textId="77777777" w:rsidR="008F420A" w:rsidRDefault="008F420A" w:rsidP="003A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44022" w14:textId="77777777" w:rsidR="0025607D" w:rsidRDefault="0025607D">
    <w:pPr>
      <w:pStyle w:val="Footer"/>
    </w:pPr>
  </w:p>
  <w:p w14:paraId="15C44023" w14:textId="4C5E5B95" w:rsidR="0025607D" w:rsidRDefault="0025607D">
    <w:pPr>
      <w:pStyle w:val="Footer"/>
    </w:pPr>
    <w:r>
      <w:t xml:space="preserve">                         </w:t>
    </w:r>
    <w:r w:rsidR="00E55AC5">
      <w:t xml:space="preserve">                        </w:t>
    </w:r>
    <w:r w:rsidRPr="003A1B6F">
      <w:rPr>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4401C" w14:textId="77777777" w:rsidR="008F420A" w:rsidRDefault="008F420A" w:rsidP="003A1B6F">
      <w:r>
        <w:separator/>
      </w:r>
    </w:p>
  </w:footnote>
  <w:footnote w:type="continuationSeparator" w:id="0">
    <w:p w14:paraId="15C4401D" w14:textId="77777777" w:rsidR="008F420A" w:rsidRDefault="008F420A" w:rsidP="003A1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44020" w14:textId="1B0DA735" w:rsidR="0025607D" w:rsidRPr="003A1B6F" w:rsidRDefault="00E55AC5">
    <w:pPr>
      <w:pStyle w:val="Header"/>
      <w:rPr>
        <w:color w:val="FF0000"/>
      </w:rPr>
    </w:pPr>
    <w:r>
      <w:rPr>
        <w:color w:val="FF0000"/>
      </w:rPr>
      <w:t xml:space="preserve">                                                 </w:t>
    </w:r>
    <w:r w:rsidR="0025607D" w:rsidRPr="003A1B6F">
      <w:rPr>
        <w:color w:val="FF0000"/>
      </w:rPr>
      <w:t>PUBLIC RECORD</w:t>
    </w:r>
  </w:p>
  <w:p w14:paraId="15C44021" w14:textId="77777777" w:rsidR="0025607D" w:rsidRDefault="00256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D52"/>
    <w:multiLevelType w:val="hybridMultilevel"/>
    <w:tmpl w:val="F34A1084"/>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9460F"/>
    <w:multiLevelType w:val="hybridMultilevel"/>
    <w:tmpl w:val="01547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E27C9"/>
    <w:multiLevelType w:val="hybridMultilevel"/>
    <w:tmpl w:val="D2BE5176"/>
    <w:lvl w:ilvl="0" w:tplc="A948BDCC">
      <w:numFmt w:val="bullet"/>
      <w:lvlText w:val="-"/>
      <w:lvlJc w:val="left"/>
      <w:pPr>
        <w:ind w:left="1080" w:hanging="360"/>
      </w:pPr>
      <w:rPr>
        <w:rFonts w:ascii="Arial" w:eastAsia="Times New Roman" w:hAnsi="Arial" w:cs="Arial"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794985"/>
    <w:multiLevelType w:val="hybridMultilevel"/>
    <w:tmpl w:val="5A3ADC0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4A52BD3"/>
    <w:multiLevelType w:val="hybridMultilevel"/>
    <w:tmpl w:val="35C2BC8C"/>
    <w:lvl w:ilvl="0" w:tplc="47724C80">
      <w:start w:val="27"/>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561A08"/>
    <w:multiLevelType w:val="hybridMultilevel"/>
    <w:tmpl w:val="6054FE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50F9D"/>
    <w:multiLevelType w:val="hybridMultilevel"/>
    <w:tmpl w:val="16646734"/>
    <w:lvl w:ilvl="0" w:tplc="EDC4212E">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95CF2"/>
    <w:multiLevelType w:val="hybridMultilevel"/>
    <w:tmpl w:val="D0E8E5BE"/>
    <w:lvl w:ilvl="0" w:tplc="BABEA95C">
      <w:start w:val="1"/>
      <w:numFmt w:val="lowerLetter"/>
      <w:lvlText w:val="(a%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56B57"/>
    <w:multiLevelType w:val="hybridMultilevel"/>
    <w:tmpl w:val="AD924580"/>
    <w:lvl w:ilvl="0" w:tplc="7570AE8C">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C71DC3"/>
    <w:multiLevelType w:val="hybridMultilevel"/>
    <w:tmpl w:val="F7F649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CB3B5C"/>
    <w:multiLevelType w:val="hybridMultilevel"/>
    <w:tmpl w:val="3D2AF2BC"/>
    <w:lvl w:ilvl="0" w:tplc="9B5821F0">
      <w:start w:val="27"/>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F7608D"/>
    <w:multiLevelType w:val="hybridMultilevel"/>
    <w:tmpl w:val="83BC4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0496C"/>
    <w:multiLevelType w:val="hybridMultilevel"/>
    <w:tmpl w:val="F0824D24"/>
    <w:lvl w:ilvl="0" w:tplc="1578EB30">
      <w:start w:val="2"/>
      <w:numFmt w:val="low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A02BCE"/>
    <w:multiLevelType w:val="hybridMultilevel"/>
    <w:tmpl w:val="C626165C"/>
    <w:lvl w:ilvl="0" w:tplc="3774D7DA">
      <w:start w:val="1"/>
      <w:numFmt w:val="lowerRoman"/>
      <w:lvlText w:val="(%1)"/>
      <w:lvlJc w:val="left"/>
      <w:pPr>
        <w:ind w:left="1080" w:hanging="720"/>
      </w:pPr>
      <w:rPr>
        <w:rFonts w:hint="default"/>
      </w:rPr>
    </w:lvl>
    <w:lvl w:ilvl="1" w:tplc="3EC0BFEC">
      <w:start w:val="1"/>
      <w:numFmt w:val="lowerLetter"/>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10C18"/>
    <w:multiLevelType w:val="hybridMultilevel"/>
    <w:tmpl w:val="427AA68A"/>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0510C"/>
    <w:multiLevelType w:val="hybridMultilevel"/>
    <w:tmpl w:val="0CE874CC"/>
    <w:lvl w:ilvl="0" w:tplc="A948BDCC">
      <w:numFmt w:val="bullet"/>
      <w:lvlText w:val="-"/>
      <w:lvlJc w:val="left"/>
      <w:pPr>
        <w:ind w:left="108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E57BB9"/>
    <w:multiLevelType w:val="hybridMultilevel"/>
    <w:tmpl w:val="68888664"/>
    <w:lvl w:ilvl="0" w:tplc="08203404">
      <w:start w:val="2"/>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E28AF"/>
    <w:multiLevelType w:val="hybridMultilevel"/>
    <w:tmpl w:val="A89ABC7C"/>
    <w:lvl w:ilvl="0" w:tplc="5D446586">
      <w:start w:val="27"/>
      <w:numFmt w:val="lowerLetter"/>
      <w:lvlText w:val="(%1)"/>
      <w:lvlJc w:val="left"/>
      <w:pPr>
        <w:ind w:left="1070" w:hanging="360"/>
      </w:pPr>
      <w:rPr>
        <w:rFonts w:ascii="Arial" w:hAnsi="Arial" w:cs="Arial" w:hint="default"/>
        <w:color w:val="auto"/>
        <w:sz w:val="22"/>
        <w:szCs w:val="22"/>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15:restartNumberingAfterBreak="0">
    <w:nsid w:val="3F097D1D"/>
    <w:multiLevelType w:val="hybridMultilevel"/>
    <w:tmpl w:val="C1601206"/>
    <w:lvl w:ilvl="0" w:tplc="0EDA11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FB4668"/>
    <w:multiLevelType w:val="hybridMultilevel"/>
    <w:tmpl w:val="7D6C3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7B56C3"/>
    <w:multiLevelType w:val="hybridMultilevel"/>
    <w:tmpl w:val="6DC0F774"/>
    <w:lvl w:ilvl="0" w:tplc="A352223A">
      <w:start w:val="27"/>
      <w:numFmt w:val="lowerLetter"/>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4588452E"/>
    <w:multiLevelType w:val="hybridMultilevel"/>
    <w:tmpl w:val="63F64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D053EC"/>
    <w:multiLevelType w:val="hybridMultilevel"/>
    <w:tmpl w:val="895AD5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97F473F"/>
    <w:multiLevelType w:val="hybridMultilevel"/>
    <w:tmpl w:val="FE4AFF8A"/>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71747"/>
    <w:multiLevelType w:val="multilevel"/>
    <w:tmpl w:val="7E2827E2"/>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419"/>
        </w:tabs>
        <w:ind w:left="1419" w:hanging="851"/>
      </w:pPr>
      <w:rPr>
        <w:rFonts w:hint="default"/>
      </w:rPr>
    </w:lvl>
    <w:lvl w:ilvl="3">
      <w:start w:val="1"/>
      <w:numFmt w:val="decimal"/>
      <w:lvlText w:val="%1.%2.%3.%4."/>
      <w:lvlJc w:val="left"/>
      <w:pPr>
        <w:tabs>
          <w:tab w:val="num" w:pos="1309"/>
        </w:tabs>
        <w:ind w:left="877" w:hanging="648"/>
      </w:pPr>
      <w:rPr>
        <w:rFonts w:hint="default"/>
      </w:rPr>
    </w:lvl>
    <w:lvl w:ilvl="4">
      <w:start w:val="1"/>
      <w:numFmt w:val="decimal"/>
      <w:lvlText w:val="%1.%2.%3.%4.%5."/>
      <w:lvlJc w:val="left"/>
      <w:pPr>
        <w:tabs>
          <w:tab w:val="num" w:pos="1669"/>
        </w:tabs>
        <w:ind w:left="1381" w:hanging="792"/>
      </w:pPr>
      <w:rPr>
        <w:rFonts w:hint="default"/>
      </w:rPr>
    </w:lvl>
    <w:lvl w:ilvl="5">
      <w:start w:val="1"/>
      <w:numFmt w:val="decimal"/>
      <w:lvlText w:val="%1.%2.%3.%4.%5.%6."/>
      <w:lvlJc w:val="left"/>
      <w:pPr>
        <w:tabs>
          <w:tab w:val="num" w:pos="2389"/>
        </w:tabs>
        <w:ind w:left="1885" w:hanging="936"/>
      </w:pPr>
      <w:rPr>
        <w:rFonts w:hint="default"/>
      </w:rPr>
    </w:lvl>
    <w:lvl w:ilvl="6">
      <w:start w:val="1"/>
      <w:numFmt w:val="decimal"/>
      <w:lvlText w:val="%1.%2.%3.%4.%5.%6.%7."/>
      <w:lvlJc w:val="left"/>
      <w:pPr>
        <w:tabs>
          <w:tab w:val="num" w:pos="2749"/>
        </w:tabs>
        <w:ind w:left="2389" w:hanging="1080"/>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25" w15:restartNumberingAfterBreak="0">
    <w:nsid w:val="4DFF7071"/>
    <w:multiLevelType w:val="hybridMultilevel"/>
    <w:tmpl w:val="F0824D24"/>
    <w:lvl w:ilvl="0" w:tplc="1578EB30">
      <w:start w:val="2"/>
      <w:numFmt w:val="low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BE49BE"/>
    <w:multiLevelType w:val="hybridMultilevel"/>
    <w:tmpl w:val="AD924580"/>
    <w:lvl w:ilvl="0" w:tplc="7570AE8C">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C70081"/>
    <w:multiLevelType w:val="hybridMultilevel"/>
    <w:tmpl w:val="C626165C"/>
    <w:lvl w:ilvl="0" w:tplc="3774D7DA">
      <w:start w:val="1"/>
      <w:numFmt w:val="lowerRoman"/>
      <w:lvlText w:val="(%1)"/>
      <w:lvlJc w:val="left"/>
      <w:pPr>
        <w:ind w:left="1080" w:hanging="720"/>
      </w:pPr>
      <w:rPr>
        <w:rFonts w:hint="default"/>
      </w:rPr>
    </w:lvl>
    <w:lvl w:ilvl="1" w:tplc="3EC0BFEC">
      <w:start w:val="1"/>
      <w:numFmt w:val="lowerLetter"/>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7468C"/>
    <w:multiLevelType w:val="hybridMultilevel"/>
    <w:tmpl w:val="4372C5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CE2CA8"/>
    <w:multiLevelType w:val="hybridMultilevel"/>
    <w:tmpl w:val="C08C6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0B43FF"/>
    <w:multiLevelType w:val="hybridMultilevel"/>
    <w:tmpl w:val="C626165C"/>
    <w:lvl w:ilvl="0" w:tplc="3774D7DA">
      <w:start w:val="1"/>
      <w:numFmt w:val="lowerRoman"/>
      <w:lvlText w:val="(%1)"/>
      <w:lvlJc w:val="left"/>
      <w:pPr>
        <w:ind w:left="1080" w:hanging="720"/>
      </w:pPr>
      <w:rPr>
        <w:rFonts w:hint="default"/>
      </w:rPr>
    </w:lvl>
    <w:lvl w:ilvl="1" w:tplc="3EC0BFEC">
      <w:start w:val="1"/>
      <w:numFmt w:val="lowerLetter"/>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CB4525"/>
    <w:multiLevelType w:val="hybridMultilevel"/>
    <w:tmpl w:val="F0824D24"/>
    <w:lvl w:ilvl="0" w:tplc="1578EB30">
      <w:start w:val="2"/>
      <w:numFmt w:val="lowerLetter"/>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E062BF"/>
    <w:multiLevelType w:val="hybridMultilevel"/>
    <w:tmpl w:val="195894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6E1D39"/>
    <w:multiLevelType w:val="hybridMultilevel"/>
    <w:tmpl w:val="7578139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2138" w:hanging="360"/>
      </w:pPr>
      <w:rPr>
        <w:rFonts w:ascii="Courier New" w:hAnsi="Courier New" w:hint="default"/>
      </w:rPr>
    </w:lvl>
    <w:lvl w:ilvl="2" w:tplc="04090005">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34" w15:restartNumberingAfterBreak="0">
    <w:nsid w:val="628A0A0F"/>
    <w:multiLevelType w:val="hybridMultilevel"/>
    <w:tmpl w:val="12B06F14"/>
    <w:lvl w:ilvl="0" w:tplc="CD9688D6">
      <w:start w:val="27"/>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644A4D"/>
    <w:multiLevelType w:val="hybridMultilevel"/>
    <w:tmpl w:val="5C28C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8773DD"/>
    <w:multiLevelType w:val="hybridMultilevel"/>
    <w:tmpl w:val="4D18E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905E5D"/>
    <w:multiLevelType w:val="hybridMultilevel"/>
    <w:tmpl w:val="D1A67D90"/>
    <w:lvl w:ilvl="0" w:tplc="04090005">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hint="default"/>
      </w:rPr>
    </w:lvl>
    <w:lvl w:ilvl="2" w:tplc="D93431A8">
      <w:start w:val="1"/>
      <w:numFmt w:val="bullet"/>
      <w:lvlText w:val="-"/>
      <w:lvlJc w:val="left"/>
      <w:pPr>
        <w:ind w:left="2509" w:hanging="360"/>
      </w:pPr>
      <w:rPr>
        <w:rFonts w:ascii="Verdana" w:hAnsi="Verdana"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15:restartNumberingAfterBreak="0">
    <w:nsid w:val="68B70E46"/>
    <w:multiLevelType w:val="hybridMultilevel"/>
    <w:tmpl w:val="AD924580"/>
    <w:lvl w:ilvl="0" w:tplc="7570AE8C">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8E7AB0"/>
    <w:multiLevelType w:val="hybridMultilevel"/>
    <w:tmpl w:val="16646734"/>
    <w:lvl w:ilvl="0" w:tplc="EDC4212E">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246B2"/>
    <w:multiLevelType w:val="hybridMultilevel"/>
    <w:tmpl w:val="BBF08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7B1E46"/>
    <w:multiLevelType w:val="hybridMultilevel"/>
    <w:tmpl w:val="F1501580"/>
    <w:lvl w:ilvl="0" w:tplc="FD4008C0">
      <w:start w:val="27"/>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2"/>
  </w:num>
  <w:num w:numId="3">
    <w:abstractNumId w:val="23"/>
  </w:num>
  <w:num w:numId="4">
    <w:abstractNumId w:val="14"/>
  </w:num>
  <w:num w:numId="5">
    <w:abstractNumId w:val="0"/>
  </w:num>
  <w:num w:numId="6">
    <w:abstractNumId w:val="24"/>
  </w:num>
  <w:num w:numId="7">
    <w:abstractNumId w:val="29"/>
  </w:num>
  <w:num w:numId="8">
    <w:abstractNumId w:val="21"/>
  </w:num>
  <w:num w:numId="9">
    <w:abstractNumId w:val="9"/>
  </w:num>
  <w:num w:numId="10">
    <w:abstractNumId w:val="28"/>
  </w:num>
  <w:num w:numId="11">
    <w:abstractNumId w:val="35"/>
  </w:num>
  <w:num w:numId="12">
    <w:abstractNumId w:val="36"/>
  </w:num>
  <w:num w:numId="13">
    <w:abstractNumId w:val="19"/>
  </w:num>
  <w:num w:numId="14">
    <w:abstractNumId w:val="40"/>
  </w:num>
  <w:num w:numId="15">
    <w:abstractNumId w:val="39"/>
  </w:num>
  <w:num w:numId="16">
    <w:abstractNumId w:val="18"/>
  </w:num>
  <w:num w:numId="17">
    <w:abstractNumId w:val="30"/>
  </w:num>
  <w:num w:numId="18">
    <w:abstractNumId w:val="6"/>
  </w:num>
  <w:num w:numId="19">
    <w:abstractNumId w:val="27"/>
  </w:num>
  <w:num w:numId="20">
    <w:abstractNumId w:val="13"/>
  </w:num>
  <w:num w:numId="21">
    <w:abstractNumId w:val="7"/>
  </w:num>
  <w:num w:numId="22">
    <w:abstractNumId w:val="16"/>
  </w:num>
  <w:num w:numId="23">
    <w:abstractNumId w:val="38"/>
  </w:num>
  <w:num w:numId="24">
    <w:abstractNumId w:val="8"/>
  </w:num>
  <w:num w:numId="25">
    <w:abstractNumId w:val="26"/>
  </w:num>
  <w:num w:numId="26">
    <w:abstractNumId w:val="2"/>
  </w:num>
  <w:num w:numId="27">
    <w:abstractNumId w:val="15"/>
  </w:num>
  <w:num w:numId="28">
    <w:abstractNumId w:val="12"/>
  </w:num>
  <w:num w:numId="29">
    <w:abstractNumId w:val="25"/>
  </w:num>
  <w:num w:numId="30">
    <w:abstractNumId w:val="31"/>
  </w:num>
  <w:num w:numId="31">
    <w:abstractNumId w:val="41"/>
  </w:num>
  <w:num w:numId="32">
    <w:abstractNumId w:val="10"/>
  </w:num>
  <w:num w:numId="33">
    <w:abstractNumId w:val="34"/>
  </w:num>
  <w:num w:numId="34">
    <w:abstractNumId w:val="4"/>
  </w:num>
  <w:num w:numId="35">
    <w:abstractNumId w:val="20"/>
  </w:num>
  <w:num w:numId="36">
    <w:abstractNumId w:val="17"/>
  </w:num>
  <w:num w:numId="37">
    <w:abstractNumId w:val="37"/>
  </w:num>
  <w:num w:numId="38">
    <w:abstractNumId w:val="33"/>
  </w:num>
  <w:num w:numId="39">
    <w:abstractNumId w:val="3"/>
  </w:num>
  <w:num w:numId="40">
    <w:abstractNumId w:val="11"/>
  </w:num>
  <w:num w:numId="41">
    <w:abstractNumId w:val="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0A"/>
    <w:rsid w:val="00007CCC"/>
    <w:rsid w:val="00013250"/>
    <w:rsid w:val="00045A7A"/>
    <w:rsid w:val="00052D28"/>
    <w:rsid w:val="00053520"/>
    <w:rsid w:val="000606BD"/>
    <w:rsid w:val="00075633"/>
    <w:rsid w:val="000A73AB"/>
    <w:rsid w:val="000C3C07"/>
    <w:rsid w:val="000D628F"/>
    <w:rsid w:val="000F54CA"/>
    <w:rsid w:val="000F73E5"/>
    <w:rsid w:val="00102439"/>
    <w:rsid w:val="001523E5"/>
    <w:rsid w:val="00175FA2"/>
    <w:rsid w:val="0018455C"/>
    <w:rsid w:val="00186442"/>
    <w:rsid w:val="001A4A86"/>
    <w:rsid w:val="001A7D1F"/>
    <w:rsid w:val="001B127A"/>
    <w:rsid w:val="001B6AF4"/>
    <w:rsid w:val="001C301C"/>
    <w:rsid w:val="001D37DB"/>
    <w:rsid w:val="00205D37"/>
    <w:rsid w:val="0021371A"/>
    <w:rsid w:val="0022078E"/>
    <w:rsid w:val="00220C75"/>
    <w:rsid w:val="00236AC3"/>
    <w:rsid w:val="002458EA"/>
    <w:rsid w:val="0025191F"/>
    <w:rsid w:val="00254553"/>
    <w:rsid w:val="00255249"/>
    <w:rsid w:val="0025607D"/>
    <w:rsid w:val="00263F66"/>
    <w:rsid w:val="00292203"/>
    <w:rsid w:val="00292A7F"/>
    <w:rsid w:val="002B5F7E"/>
    <w:rsid w:val="002C4A64"/>
    <w:rsid w:val="002E010E"/>
    <w:rsid w:val="002E3E03"/>
    <w:rsid w:val="002E4BEE"/>
    <w:rsid w:val="0030117A"/>
    <w:rsid w:val="00311712"/>
    <w:rsid w:val="00335598"/>
    <w:rsid w:val="00350F81"/>
    <w:rsid w:val="00363C84"/>
    <w:rsid w:val="00367E3F"/>
    <w:rsid w:val="00372E92"/>
    <w:rsid w:val="00375E7E"/>
    <w:rsid w:val="00383BCC"/>
    <w:rsid w:val="00396AF4"/>
    <w:rsid w:val="003A1B6F"/>
    <w:rsid w:val="003A398F"/>
    <w:rsid w:val="003A574D"/>
    <w:rsid w:val="003A67CB"/>
    <w:rsid w:val="003C4532"/>
    <w:rsid w:val="003F7785"/>
    <w:rsid w:val="0040018D"/>
    <w:rsid w:val="004079EB"/>
    <w:rsid w:val="00470A18"/>
    <w:rsid w:val="004740AE"/>
    <w:rsid w:val="00497EE9"/>
    <w:rsid w:val="004A19C3"/>
    <w:rsid w:val="004A4CF1"/>
    <w:rsid w:val="004C3F06"/>
    <w:rsid w:val="004D4971"/>
    <w:rsid w:val="00500590"/>
    <w:rsid w:val="0053356F"/>
    <w:rsid w:val="00540520"/>
    <w:rsid w:val="00541D29"/>
    <w:rsid w:val="00544B3B"/>
    <w:rsid w:val="0055788B"/>
    <w:rsid w:val="005660A0"/>
    <w:rsid w:val="00580BE1"/>
    <w:rsid w:val="005860EC"/>
    <w:rsid w:val="005931F2"/>
    <w:rsid w:val="005A0AB6"/>
    <w:rsid w:val="005A3301"/>
    <w:rsid w:val="005C7575"/>
    <w:rsid w:val="005D40C3"/>
    <w:rsid w:val="005E14A9"/>
    <w:rsid w:val="005F67D8"/>
    <w:rsid w:val="005F7E87"/>
    <w:rsid w:val="00610090"/>
    <w:rsid w:val="00621294"/>
    <w:rsid w:val="00623697"/>
    <w:rsid w:val="006278FF"/>
    <w:rsid w:val="00640FEE"/>
    <w:rsid w:val="006453BD"/>
    <w:rsid w:val="006471C4"/>
    <w:rsid w:val="00653A34"/>
    <w:rsid w:val="006678AA"/>
    <w:rsid w:val="006839AF"/>
    <w:rsid w:val="00685AB5"/>
    <w:rsid w:val="006958A0"/>
    <w:rsid w:val="006D04C1"/>
    <w:rsid w:val="006D66CE"/>
    <w:rsid w:val="006E2643"/>
    <w:rsid w:val="006E311E"/>
    <w:rsid w:val="00701250"/>
    <w:rsid w:val="00714CE0"/>
    <w:rsid w:val="007437C3"/>
    <w:rsid w:val="00761498"/>
    <w:rsid w:val="007723CF"/>
    <w:rsid w:val="0077446A"/>
    <w:rsid w:val="007912C8"/>
    <w:rsid w:val="00794220"/>
    <w:rsid w:val="00795663"/>
    <w:rsid w:val="007B55F4"/>
    <w:rsid w:val="007E5D8B"/>
    <w:rsid w:val="007F0260"/>
    <w:rsid w:val="007F1B71"/>
    <w:rsid w:val="007F5EC5"/>
    <w:rsid w:val="00811349"/>
    <w:rsid w:val="00811AC1"/>
    <w:rsid w:val="00816E64"/>
    <w:rsid w:val="008217EB"/>
    <w:rsid w:val="008467A9"/>
    <w:rsid w:val="008604FD"/>
    <w:rsid w:val="00872A35"/>
    <w:rsid w:val="008939BB"/>
    <w:rsid w:val="008A6F37"/>
    <w:rsid w:val="008C25AE"/>
    <w:rsid w:val="008D439E"/>
    <w:rsid w:val="008F420A"/>
    <w:rsid w:val="00932C66"/>
    <w:rsid w:val="00934477"/>
    <w:rsid w:val="00945F78"/>
    <w:rsid w:val="00955288"/>
    <w:rsid w:val="00956881"/>
    <w:rsid w:val="00964C76"/>
    <w:rsid w:val="009666CF"/>
    <w:rsid w:val="00974FB4"/>
    <w:rsid w:val="009808E2"/>
    <w:rsid w:val="00986E56"/>
    <w:rsid w:val="009A0B05"/>
    <w:rsid w:val="009A7B6D"/>
    <w:rsid w:val="009D3A83"/>
    <w:rsid w:val="009F5473"/>
    <w:rsid w:val="009F64C9"/>
    <w:rsid w:val="00A048A2"/>
    <w:rsid w:val="00A15DC1"/>
    <w:rsid w:val="00A27CA3"/>
    <w:rsid w:val="00A3444F"/>
    <w:rsid w:val="00A5277E"/>
    <w:rsid w:val="00A712B6"/>
    <w:rsid w:val="00A75F69"/>
    <w:rsid w:val="00A878C1"/>
    <w:rsid w:val="00A9080F"/>
    <w:rsid w:val="00A958B5"/>
    <w:rsid w:val="00AA1788"/>
    <w:rsid w:val="00AC2ED3"/>
    <w:rsid w:val="00AC41FC"/>
    <w:rsid w:val="00AE5839"/>
    <w:rsid w:val="00B01C07"/>
    <w:rsid w:val="00B1071C"/>
    <w:rsid w:val="00B15B8D"/>
    <w:rsid w:val="00B265F7"/>
    <w:rsid w:val="00B33B7D"/>
    <w:rsid w:val="00B413C1"/>
    <w:rsid w:val="00B47109"/>
    <w:rsid w:val="00B47EC6"/>
    <w:rsid w:val="00B84463"/>
    <w:rsid w:val="00BD0ACB"/>
    <w:rsid w:val="00BD48AF"/>
    <w:rsid w:val="00BE482D"/>
    <w:rsid w:val="00BF2A5B"/>
    <w:rsid w:val="00BF70A0"/>
    <w:rsid w:val="00C050CF"/>
    <w:rsid w:val="00C05626"/>
    <w:rsid w:val="00C2789A"/>
    <w:rsid w:val="00C461CD"/>
    <w:rsid w:val="00C62C35"/>
    <w:rsid w:val="00C7330F"/>
    <w:rsid w:val="00C82912"/>
    <w:rsid w:val="00C91923"/>
    <w:rsid w:val="00CB395A"/>
    <w:rsid w:val="00CB55FD"/>
    <w:rsid w:val="00CB7E48"/>
    <w:rsid w:val="00CC1893"/>
    <w:rsid w:val="00CC201D"/>
    <w:rsid w:val="00CC4277"/>
    <w:rsid w:val="00CD64BE"/>
    <w:rsid w:val="00CE2207"/>
    <w:rsid w:val="00D27E89"/>
    <w:rsid w:val="00D40CE5"/>
    <w:rsid w:val="00D45F79"/>
    <w:rsid w:val="00D47109"/>
    <w:rsid w:val="00D505FC"/>
    <w:rsid w:val="00D57237"/>
    <w:rsid w:val="00D63449"/>
    <w:rsid w:val="00D74515"/>
    <w:rsid w:val="00DD5191"/>
    <w:rsid w:val="00DD6F2B"/>
    <w:rsid w:val="00DE1884"/>
    <w:rsid w:val="00DE51A1"/>
    <w:rsid w:val="00DF2859"/>
    <w:rsid w:val="00E1436D"/>
    <w:rsid w:val="00E2250C"/>
    <w:rsid w:val="00E2547D"/>
    <w:rsid w:val="00E53A92"/>
    <w:rsid w:val="00E55AC5"/>
    <w:rsid w:val="00E5785C"/>
    <w:rsid w:val="00E64E7A"/>
    <w:rsid w:val="00E66AAE"/>
    <w:rsid w:val="00E85522"/>
    <w:rsid w:val="00E914BE"/>
    <w:rsid w:val="00EA3FA4"/>
    <w:rsid w:val="00ED4772"/>
    <w:rsid w:val="00F20E7E"/>
    <w:rsid w:val="00F5487D"/>
    <w:rsid w:val="00F56E47"/>
    <w:rsid w:val="00F573BE"/>
    <w:rsid w:val="00FE0A1D"/>
    <w:rsid w:val="00FE4CAC"/>
    <w:rsid w:val="00FE50C7"/>
    <w:rsid w:val="00FE7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43F8B"/>
  <w15:docId w15:val="{7E78307F-643E-4E98-97EE-02BA396F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5F7"/>
    <w:rPr>
      <w:sz w:val="24"/>
      <w:szCs w:val="24"/>
    </w:rPr>
  </w:style>
  <w:style w:type="paragraph" w:styleId="Heading2">
    <w:name w:val="heading 2"/>
    <w:basedOn w:val="Normal"/>
    <w:next w:val="Normal"/>
    <w:link w:val="Heading2Char"/>
    <w:qFormat/>
    <w:rsid w:val="00B265F7"/>
    <w:pPr>
      <w:keepNext/>
      <w:numPr>
        <w:ilvl w:val="1"/>
        <w:numId w:val="6"/>
      </w:numPr>
      <w:spacing w:before="100" w:beforeAutospacing="1" w:after="100" w:afterAutospacing="1"/>
      <w:outlineLvl w:val="1"/>
    </w:pPr>
    <w:rPr>
      <w:rFonts w:ascii="Arial" w:hAnsi="Arial" w:cs="Arial"/>
      <w:b/>
      <w:bCs/>
      <w:iCs/>
      <w:sz w:val="28"/>
      <w:szCs w:val="28"/>
      <w:lang w:eastAsia="en-US"/>
    </w:rPr>
  </w:style>
  <w:style w:type="paragraph" w:styleId="Heading3">
    <w:name w:val="heading 3"/>
    <w:basedOn w:val="Normal"/>
    <w:next w:val="Normal"/>
    <w:qFormat/>
    <w:rsid w:val="00B265F7"/>
    <w:pPr>
      <w:keepNext/>
      <w:numPr>
        <w:ilvl w:val="2"/>
        <w:numId w:val="6"/>
      </w:numPr>
      <w:spacing w:before="100" w:beforeAutospacing="1" w:after="100" w:afterAutospacing="1"/>
      <w:outlineLvl w:val="2"/>
    </w:pPr>
    <w:rPr>
      <w:rFonts w:ascii="Arial" w:hAnsi="Arial" w:cs="Arial"/>
      <w:b/>
      <w:bCs/>
      <w:sz w:val="26"/>
      <w:szCs w:val="26"/>
      <w:lang w:eastAsia="en-US"/>
    </w:rPr>
  </w:style>
  <w:style w:type="paragraph" w:styleId="Heading5">
    <w:name w:val="heading 5"/>
    <w:basedOn w:val="Normal"/>
    <w:next w:val="Normal"/>
    <w:link w:val="Heading5Char"/>
    <w:semiHidden/>
    <w:unhideWhenUsed/>
    <w:qFormat/>
    <w:rsid w:val="00367E3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6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265F7"/>
    <w:pPr>
      <w:spacing w:before="120" w:after="120"/>
    </w:pPr>
    <w:rPr>
      <w:rFonts w:ascii="Arial" w:hAnsi="Arial"/>
      <w:szCs w:val="20"/>
      <w:lang w:eastAsia="en-US"/>
    </w:rPr>
  </w:style>
  <w:style w:type="character" w:customStyle="1" w:styleId="BodyTextChar">
    <w:name w:val="Body Text Char"/>
    <w:link w:val="BodyText"/>
    <w:rsid w:val="00B265F7"/>
    <w:rPr>
      <w:rFonts w:ascii="Arial" w:hAnsi="Arial"/>
      <w:sz w:val="24"/>
      <w:lang w:val="en-AU" w:eastAsia="en-US" w:bidi="ar-SA"/>
    </w:rPr>
  </w:style>
  <w:style w:type="character" w:customStyle="1" w:styleId="Heading2Char">
    <w:name w:val="Heading 2 Char"/>
    <w:link w:val="Heading2"/>
    <w:locked/>
    <w:rsid w:val="00B265F7"/>
    <w:rPr>
      <w:rFonts w:ascii="Arial" w:hAnsi="Arial" w:cs="Arial"/>
      <w:b/>
      <w:bCs/>
      <w:iCs/>
      <w:sz w:val="28"/>
      <w:szCs w:val="28"/>
      <w:lang w:val="en-AU" w:eastAsia="en-US" w:bidi="ar-SA"/>
    </w:rPr>
  </w:style>
  <w:style w:type="paragraph" w:customStyle="1" w:styleId="paragraph">
    <w:name w:val="paragraph"/>
    <w:aliases w:val="a,indent(a)"/>
    <w:rsid w:val="00B265F7"/>
    <w:pPr>
      <w:tabs>
        <w:tab w:val="right" w:pos="1531"/>
      </w:tabs>
      <w:spacing w:before="40"/>
      <w:ind w:left="1644" w:hanging="1644"/>
    </w:pPr>
    <w:rPr>
      <w:sz w:val="22"/>
      <w:szCs w:val="24"/>
    </w:rPr>
  </w:style>
  <w:style w:type="character" w:styleId="Hyperlink">
    <w:name w:val="Hyperlink"/>
    <w:rsid w:val="00B265F7"/>
    <w:rPr>
      <w:rFonts w:cs="Times New Roman"/>
      <w:color w:val="0000FF"/>
      <w:u w:val="single"/>
    </w:rPr>
  </w:style>
  <w:style w:type="paragraph" w:styleId="BodyText2">
    <w:name w:val="Body Text 2"/>
    <w:basedOn w:val="Normal"/>
    <w:rsid w:val="00B265F7"/>
    <w:pPr>
      <w:spacing w:after="120" w:line="480" w:lineRule="auto"/>
    </w:pPr>
    <w:rPr>
      <w:rFonts w:ascii="Arial" w:hAnsi="Arial" w:cs="Arial"/>
      <w:sz w:val="20"/>
      <w:lang w:eastAsia="en-US"/>
    </w:rPr>
  </w:style>
  <w:style w:type="paragraph" w:styleId="BodyTextIndent">
    <w:name w:val="Body Text Indent"/>
    <w:basedOn w:val="Normal"/>
    <w:rsid w:val="00B265F7"/>
    <w:pPr>
      <w:spacing w:after="120"/>
      <w:ind w:left="283"/>
    </w:pPr>
    <w:rPr>
      <w:rFonts w:ascii="Arial" w:hAnsi="Arial" w:cs="Arial"/>
      <w:sz w:val="20"/>
      <w:lang w:eastAsia="en-US"/>
    </w:rPr>
  </w:style>
  <w:style w:type="paragraph" w:styleId="BalloonText">
    <w:name w:val="Balloon Text"/>
    <w:basedOn w:val="Normal"/>
    <w:semiHidden/>
    <w:rsid w:val="00B265F7"/>
    <w:rPr>
      <w:rFonts w:ascii="Tahoma" w:hAnsi="Tahoma" w:cs="Tahoma"/>
      <w:sz w:val="16"/>
      <w:szCs w:val="16"/>
    </w:rPr>
  </w:style>
  <w:style w:type="character" w:styleId="CommentReference">
    <w:name w:val="annotation reference"/>
    <w:semiHidden/>
    <w:rsid w:val="00A75F69"/>
    <w:rPr>
      <w:sz w:val="16"/>
      <w:szCs w:val="16"/>
    </w:rPr>
  </w:style>
  <w:style w:type="paragraph" w:styleId="CommentText">
    <w:name w:val="annotation text"/>
    <w:basedOn w:val="Normal"/>
    <w:link w:val="CommentTextChar"/>
    <w:semiHidden/>
    <w:rsid w:val="00A75F69"/>
    <w:rPr>
      <w:sz w:val="20"/>
      <w:szCs w:val="20"/>
    </w:rPr>
  </w:style>
  <w:style w:type="paragraph" w:styleId="CommentSubject">
    <w:name w:val="annotation subject"/>
    <w:basedOn w:val="CommentText"/>
    <w:next w:val="CommentText"/>
    <w:semiHidden/>
    <w:rsid w:val="00A75F69"/>
    <w:rPr>
      <w:b/>
      <w:bCs/>
    </w:rPr>
  </w:style>
  <w:style w:type="paragraph" w:styleId="Revision">
    <w:name w:val="Revision"/>
    <w:hidden/>
    <w:uiPriority w:val="99"/>
    <w:semiHidden/>
    <w:rsid w:val="00540520"/>
    <w:rPr>
      <w:sz w:val="24"/>
      <w:szCs w:val="24"/>
    </w:rPr>
  </w:style>
  <w:style w:type="paragraph" w:styleId="ListParagraph">
    <w:name w:val="List Paragraph"/>
    <w:basedOn w:val="Normal"/>
    <w:uiPriority w:val="34"/>
    <w:qFormat/>
    <w:rsid w:val="00BE482D"/>
    <w:pPr>
      <w:ind w:left="720"/>
      <w:contextualSpacing/>
    </w:pPr>
  </w:style>
  <w:style w:type="paragraph" w:styleId="Header">
    <w:name w:val="header"/>
    <w:basedOn w:val="Normal"/>
    <w:link w:val="HeaderChar"/>
    <w:uiPriority w:val="99"/>
    <w:rsid w:val="003A1B6F"/>
    <w:pPr>
      <w:tabs>
        <w:tab w:val="center" w:pos="4513"/>
        <w:tab w:val="right" w:pos="9026"/>
      </w:tabs>
    </w:pPr>
  </w:style>
  <w:style w:type="character" w:customStyle="1" w:styleId="HeaderChar">
    <w:name w:val="Header Char"/>
    <w:basedOn w:val="DefaultParagraphFont"/>
    <w:link w:val="Header"/>
    <w:uiPriority w:val="99"/>
    <w:rsid w:val="003A1B6F"/>
    <w:rPr>
      <w:sz w:val="24"/>
      <w:szCs w:val="24"/>
    </w:rPr>
  </w:style>
  <w:style w:type="paragraph" w:styleId="Footer">
    <w:name w:val="footer"/>
    <w:basedOn w:val="Normal"/>
    <w:link w:val="FooterChar"/>
    <w:uiPriority w:val="99"/>
    <w:rsid w:val="003A1B6F"/>
    <w:pPr>
      <w:tabs>
        <w:tab w:val="center" w:pos="4513"/>
        <w:tab w:val="right" w:pos="9026"/>
      </w:tabs>
    </w:pPr>
  </w:style>
  <w:style w:type="character" w:customStyle="1" w:styleId="FooterChar">
    <w:name w:val="Footer Char"/>
    <w:basedOn w:val="DefaultParagraphFont"/>
    <w:link w:val="Footer"/>
    <w:uiPriority w:val="99"/>
    <w:rsid w:val="003A1B6F"/>
    <w:rPr>
      <w:sz w:val="24"/>
      <w:szCs w:val="24"/>
    </w:rPr>
  </w:style>
  <w:style w:type="character" w:customStyle="1" w:styleId="Heading5Char">
    <w:name w:val="Heading 5 Char"/>
    <w:basedOn w:val="DefaultParagraphFont"/>
    <w:link w:val="Heading5"/>
    <w:semiHidden/>
    <w:rsid w:val="00367E3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rsid w:val="00375E7E"/>
    <w:rPr>
      <w:color w:val="800080" w:themeColor="followedHyperlink"/>
      <w:u w:val="single"/>
    </w:rPr>
  </w:style>
  <w:style w:type="paragraph" w:styleId="FootnoteText">
    <w:name w:val="footnote text"/>
    <w:basedOn w:val="Normal"/>
    <w:link w:val="FootnoteTextChar"/>
    <w:rsid w:val="00E1436D"/>
    <w:rPr>
      <w:sz w:val="20"/>
      <w:szCs w:val="20"/>
    </w:rPr>
  </w:style>
  <w:style w:type="character" w:customStyle="1" w:styleId="FootnoteTextChar">
    <w:name w:val="Footnote Text Char"/>
    <w:basedOn w:val="DefaultParagraphFont"/>
    <w:link w:val="FootnoteText"/>
    <w:rsid w:val="00E1436D"/>
  </w:style>
  <w:style w:type="character" w:styleId="FootnoteReference">
    <w:name w:val="footnote reference"/>
    <w:aliases w:val="Ref,de nota al pie,註腳內容,Footnote Reference1,Ref1,de nota al pie1,de nota al pie + (Asian) MS Mincho,11 pt,註?腳內—e"/>
    <w:basedOn w:val="DefaultParagraphFont"/>
    <w:uiPriority w:val="99"/>
    <w:rsid w:val="00E1436D"/>
    <w:rPr>
      <w:vertAlign w:val="superscript"/>
    </w:rPr>
  </w:style>
  <w:style w:type="character" w:customStyle="1" w:styleId="CommentTextChar">
    <w:name w:val="Comment Text Char"/>
    <w:basedOn w:val="DefaultParagraphFont"/>
    <w:link w:val="CommentText"/>
    <w:semiHidden/>
    <w:rsid w:val="00D4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03625">
      <w:bodyDiv w:val="1"/>
      <w:marLeft w:val="0"/>
      <w:marRight w:val="0"/>
      <w:marTop w:val="0"/>
      <w:marBottom w:val="0"/>
      <w:divBdr>
        <w:top w:val="none" w:sz="0" w:space="0" w:color="auto"/>
        <w:left w:val="none" w:sz="0" w:space="0" w:color="auto"/>
        <w:bottom w:val="none" w:sz="0" w:space="0" w:color="auto"/>
        <w:right w:val="none" w:sz="0" w:space="0" w:color="auto"/>
      </w:divBdr>
    </w:div>
    <w:div w:id="1848933741">
      <w:bodyDiv w:val="1"/>
      <w:marLeft w:val="0"/>
      <w:marRight w:val="0"/>
      <w:marTop w:val="0"/>
      <w:marBottom w:val="0"/>
      <w:divBdr>
        <w:top w:val="none" w:sz="0" w:space="0" w:color="auto"/>
        <w:left w:val="none" w:sz="0" w:space="0" w:color="auto"/>
        <w:bottom w:val="none" w:sz="0" w:space="0" w:color="auto"/>
        <w:right w:val="none" w:sz="0" w:space="0" w:color="auto"/>
      </w:divBdr>
      <w:divsChild>
        <w:div w:id="1600480896">
          <w:marLeft w:val="0"/>
          <w:marRight w:val="0"/>
          <w:marTop w:val="0"/>
          <w:marBottom w:val="0"/>
          <w:divBdr>
            <w:top w:val="none" w:sz="0" w:space="0" w:color="auto"/>
            <w:left w:val="none" w:sz="0" w:space="0" w:color="auto"/>
            <w:bottom w:val="none" w:sz="0" w:space="0" w:color="auto"/>
            <w:right w:val="none" w:sz="0" w:space="0" w:color="auto"/>
          </w:divBdr>
          <w:divsChild>
            <w:div w:id="1160728534">
              <w:marLeft w:val="0"/>
              <w:marRight w:val="0"/>
              <w:marTop w:val="0"/>
              <w:marBottom w:val="0"/>
              <w:divBdr>
                <w:top w:val="none" w:sz="0" w:space="0" w:color="auto"/>
                <w:left w:val="none" w:sz="0" w:space="0" w:color="auto"/>
                <w:bottom w:val="none" w:sz="0" w:space="0" w:color="auto"/>
                <w:right w:val="none" w:sz="0" w:space="0" w:color="auto"/>
              </w:divBdr>
              <w:divsChild>
                <w:div w:id="1596160998">
                  <w:marLeft w:val="0"/>
                  <w:marRight w:val="0"/>
                  <w:marTop w:val="0"/>
                  <w:marBottom w:val="0"/>
                  <w:divBdr>
                    <w:top w:val="none" w:sz="0" w:space="0" w:color="auto"/>
                    <w:left w:val="none" w:sz="0" w:space="0" w:color="auto"/>
                    <w:bottom w:val="none" w:sz="0" w:space="0" w:color="auto"/>
                    <w:right w:val="none" w:sz="0" w:space="0" w:color="auto"/>
                  </w:divBdr>
                  <w:divsChild>
                    <w:div w:id="1188638836">
                      <w:marLeft w:val="0"/>
                      <w:marRight w:val="0"/>
                      <w:marTop w:val="0"/>
                      <w:marBottom w:val="0"/>
                      <w:divBdr>
                        <w:top w:val="none" w:sz="0" w:space="0" w:color="auto"/>
                        <w:left w:val="none" w:sz="0" w:space="0" w:color="auto"/>
                        <w:bottom w:val="none" w:sz="0" w:space="0" w:color="auto"/>
                        <w:right w:val="none" w:sz="0" w:space="0" w:color="auto"/>
                      </w:divBdr>
                      <w:divsChild>
                        <w:div w:id="853884117">
                          <w:marLeft w:val="0"/>
                          <w:marRight w:val="0"/>
                          <w:marTop w:val="0"/>
                          <w:marBottom w:val="0"/>
                          <w:divBdr>
                            <w:top w:val="none" w:sz="0" w:space="0" w:color="auto"/>
                            <w:left w:val="none" w:sz="0" w:space="0" w:color="auto"/>
                            <w:bottom w:val="none" w:sz="0" w:space="0" w:color="auto"/>
                            <w:right w:val="none" w:sz="0" w:space="0" w:color="auto"/>
                          </w:divBdr>
                          <w:divsChild>
                            <w:div w:id="2063551922">
                              <w:marLeft w:val="0"/>
                              <w:marRight w:val="0"/>
                              <w:marTop w:val="0"/>
                              <w:marBottom w:val="0"/>
                              <w:divBdr>
                                <w:top w:val="none" w:sz="0" w:space="0" w:color="auto"/>
                                <w:left w:val="none" w:sz="0" w:space="0" w:color="auto"/>
                                <w:bottom w:val="none" w:sz="0" w:space="0" w:color="auto"/>
                                <w:right w:val="none" w:sz="0" w:space="0" w:color="auto"/>
                              </w:divBdr>
                              <w:divsChild>
                                <w:div w:id="1212497827">
                                  <w:marLeft w:val="0"/>
                                  <w:marRight w:val="0"/>
                                  <w:marTop w:val="0"/>
                                  <w:marBottom w:val="0"/>
                                  <w:divBdr>
                                    <w:top w:val="none" w:sz="0" w:space="0" w:color="auto"/>
                                    <w:left w:val="none" w:sz="0" w:space="0" w:color="auto"/>
                                    <w:bottom w:val="none" w:sz="0" w:space="0" w:color="auto"/>
                                    <w:right w:val="none" w:sz="0" w:space="0" w:color="auto"/>
                                  </w:divBdr>
                                  <w:divsChild>
                                    <w:div w:id="1483544946">
                                      <w:marLeft w:val="120"/>
                                      <w:marRight w:val="120"/>
                                      <w:marTop w:val="120"/>
                                      <w:marBottom w:val="120"/>
                                      <w:divBdr>
                                        <w:top w:val="none" w:sz="0" w:space="0" w:color="auto"/>
                                        <w:left w:val="none" w:sz="0" w:space="0" w:color="auto"/>
                                        <w:bottom w:val="none" w:sz="0" w:space="0" w:color="auto"/>
                                        <w:right w:val="none" w:sz="0" w:space="0" w:color="auto"/>
                                      </w:divBdr>
                                      <w:divsChild>
                                        <w:div w:id="1851335912">
                                          <w:marLeft w:val="0"/>
                                          <w:marRight w:val="0"/>
                                          <w:marTop w:val="0"/>
                                          <w:marBottom w:val="0"/>
                                          <w:divBdr>
                                            <w:top w:val="none" w:sz="0" w:space="0" w:color="auto"/>
                                            <w:left w:val="none" w:sz="0" w:space="0" w:color="auto"/>
                                            <w:bottom w:val="none" w:sz="0" w:space="0" w:color="auto"/>
                                            <w:right w:val="none" w:sz="0" w:space="0" w:color="auto"/>
                                          </w:divBdr>
                                          <w:divsChild>
                                            <w:div w:id="628316032">
                                              <w:marLeft w:val="0"/>
                                              <w:marRight w:val="0"/>
                                              <w:marTop w:val="0"/>
                                              <w:marBottom w:val="0"/>
                                              <w:divBdr>
                                                <w:top w:val="none" w:sz="0" w:space="0" w:color="auto"/>
                                                <w:left w:val="none" w:sz="0" w:space="0" w:color="auto"/>
                                                <w:bottom w:val="none" w:sz="0" w:space="0" w:color="auto"/>
                                                <w:right w:val="none" w:sz="0" w:space="0" w:color="auto"/>
                                              </w:divBdr>
                                              <w:divsChild>
                                                <w:div w:id="12731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dcommission.gov.au/meas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D41DB93567E7D46B3D99D669CCBC214" ma:contentTypeVersion="0" ma:contentTypeDescription="Create a new document." ma:contentTypeScope="" ma:versionID="e4553c5295557fca4a0eba2fa7b12f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7403F-6A6A-4B38-BF7C-FA74980A776C}"/>
</file>

<file path=customXml/itemProps2.xml><?xml version="1.0" encoding="utf-8"?>
<ds:datastoreItem xmlns:ds="http://schemas.openxmlformats.org/officeDocument/2006/customXml" ds:itemID="{89DDF2D2-1DCD-4A52-B257-500875FCB482}"/>
</file>

<file path=customXml/itemProps3.xml><?xml version="1.0" encoding="utf-8"?>
<ds:datastoreItem xmlns:ds="http://schemas.openxmlformats.org/officeDocument/2006/customXml" ds:itemID="{54ADA0CB-D671-49DF-AF12-F56A15613304}"/>
</file>

<file path=customXml/itemProps4.xml><?xml version="1.0" encoding="utf-8"?>
<ds:datastoreItem xmlns:ds="http://schemas.openxmlformats.org/officeDocument/2006/customXml" ds:itemID="{8F37403F-6A6A-4B38-BF7C-FA74980A776C}">
  <ds:schemaRefs>
    <ds:schemaRef ds:uri="http://schemas.microsoft.com/sharepoint/v3/contenttype/forms"/>
  </ds:schemaRefs>
</ds:datastoreItem>
</file>

<file path=customXml/itemProps5.xml><?xml version="1.0" encoding="utf-8"?>
<ds:datastoreItem xmlns:ds="http://schemas.openxmlformats.org/officeDocument/2006/customXml" ds:itemID="{1EFE3D0E-B5F1-4A8C-835F-C632233D98AC}"/>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RESPONSE TO APPLICATION</vt:lpstr>
    </vt:vector>
  </TitlesOfParts>
  <Company>Australian Customs Service</Company>
  <LinksUpToDate>false</LinksUpToDate>
  <CharactersWithSpaces>15673</CharactersWithSpaces>
  <SharedDoc>false</SharedDoc>
  <HLinks>
    <vt:vector size="12" baseType="variant">
      <vt:variant>
        <vt:i4>4194403</vt:i4>
      </vt:variant>
      <vt:variant>
        <vt:i4>3</vt:i4>
      </vt:variant>
      <vt:variant>
        <vt:i4>0</vt:i4>
      </vt:variant>
      <vt:variant>
        <vt:i4>5</vt:i4>
      </vt:variant>
      <vt:variant>
        <vt:lpwstr>mailto:operations2@customs.gov.au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APPLICATION</dc:title>
  <dc:creator>Guilfoyle, Melissa</dc:creator>
  <cp:lastModifiedBy>Rozario, Honor</cp:lastModifiedBy>
  <cp:revision>2</cp:revision>
  <cp:lastPrinted>2016-11-07T00:25:00Z</cp:lastPrinted>
  <dcterms:created xsi:type="dcterms:W3CDTF">2018-03-23T03:14:00Z</dcterms:created>
  <dcterms:modified xsi:type="dcterms:W3CDTF">2018-03-23T03:14:00Z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0x0101005D41DB93567E7D46B3D99D669CCBC214</vt:lpwstr>
  </property>
  <property fmtid="{D5CDD505-2E9C-101B-9397-08002B2CF9AE}" pid="7" name="_dlc_DocIdItemGuid">
    <vt:lpwstr>cf32570c-2d77-4c5b-936d-a216a173b813</vt:lpwstr>
  </property>
  <property fmtid="{D5CDD505-2E9C-101B-9397-08002B2CF9AE}" pid="8" name="DocHub_Year">
    <vt:lpwstr>671;#2017|5f6de30b-6e1e-4c09-9e51-982258231536</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292;#Exemption|d565092d-3b75-4ee9-9cab-45fedddadc28</vt:lpwstr>
  </property>
  <property fmtid="{D5CDD505-2E9C-101B-9397-08002B2CF9AE}" pid="12" name="Report Type">
    <vt:lpwstr/>
  </property>
  <property fmtid="{D5CDD505-2E9C-101B-9397-08002B2CF9AE}" pid="13" name="DocHub_Entity">
    <vt:lpwstr>483;#Orrcon|7a74bb29-8682-4aee-a9ca-614e92b1704a</vt:lpwstr>
  </property>
  <property fmtid="{D5CDD505-2E9C-101B-9397-08002B2CF9AE}" pid="14" name="DocHub_WorkActivity">
    <vt:lpwstr>50;#Initiation|b55870f0-dbe8-4b58-8e5f-70df10cc9f9a</vt:lpwstr>
  </property>
  <property fmtid="{D5CDD505-2E9C-101B-9397-08002B2CF9AE}" pid="15" name="DocHub_Goods">
    <vt:lpwstr>58;#Hollow structural sections|f6dce904-7f94-4a0c-af19-e4ad40630259</vt:lpwstr>
  </property>
  <property fmtid="{D5CDD505-2E9C-101B-9397-08002B2CF9AE}" pid="16" name="DocHub_Country">
    <vt:lpwstr/>
  </property>
  <property fmtid="{D5CDD505-2E9C-101B-9397-08002B2CF9AE}" pid="17" name="DocHub_Keywords">
    <vt:lpwstr/>
  </property>
  <property fmtid="{D5CDD505-2E9C-101B-9397-08002B2CF9AE}" pid="18" name="DocHub_ADCEntityType">
    <vt:lpwstr>1099;#Australian industry|56967608-c504-4a24-918e-22133184cb3d</vt:lpwstr>
  </property>
  <property fmtid="{D5CDD505-2E9C-101B-9397-08002B2CF9AE}" pid="19" name="DocHub_ADCSubDocumentType">
    <vt:lpwstr/>
  </property>
  <property fmtid="{D5CDD505-2E9C-101B-9397-08002B2CF9AE}" pid="20" name="DocHub_AttachmentAppendix">
    <vt:lpwstr/>
  </property>
  <property fmtid="{D5CDD505-2E9C-101B-9397-08002B2CF9AE}" pid="21" name="DocHub_ReportType">
    <vt:lpwstr/>
  </property>
</Properties>
</file>