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Wed Mar 15 2023 12:02:06 GMT+1 100 (AEDT)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p>
      <w:pPr>
        <w:spacing w:before="0" w:after="0" w:line="395" w:lineRule="exact"/>
        <w:ind w:right="0" w:left="0" w:firstLine="0"/>
        <w:jc w:val="center"/>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Australian Jobs Act 2013</w:t>
      </w:r>
    </w:p>
    <w:p>
      <w:pPr>
        <w:spacing w:before="235" w:after="348" w:line="251"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AIP Plan reference code:</w:t>
      </w:r>
    </w:p>
    <w:p>
      <w:pPr>
        <w:spacing w:before="474" w:after="51" w:line="397"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0" w:after="0" w:line="341" w:lineRule="exact"/>
        <w:ind w:right="0" w:left="288" w:firstLine="0"/>
        <w:jc w:val="left"/>
        <w:textAlignment w:val="baseline"/>
        <w:rPr>
          <w:rFonts w:ascii="Arial" w:hAnsi="Arial" w:eastAsia="Arial"/>
          <w:b w:val="true"/>
          <w:color w:val="000000"/>
          <w:spacing w:val="0"/>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0"/>
          <w:w w:val="100"/>
          <w:sz w:val="16"/>
          <w:vertAlign w:val="baseline"/>
          <w:lang w:val="en-US"/>
        </w:rPr>
        <w:t xml:space="preserve">Nominated project proponent: </w:t>
      </w:r>
      <w:r>
        <w:rPr>
          <w:rFonts w:ascii="Arial" w:hAnsi="Arial" w:eastAsia="Arial"/>
          <w:color w:val="000000"/>
          <w:spacing w:val="0"/>
          <w:w w:val="100"/>
          <w:sz w:val="16"/>
          <w:vertAlign w:val="baseline"/>
          <w:lang w:val="en-US"/>
        </w:rPr>
        <w:t xml:space="preserve">Dexus CPA Pty Ltd ABN atf Dexus CPA Commercial Property Trust No</w:t>
        <w:br/>
      </w:r>
      <w:r>
        <w:rPr>
          <w:rFonts w:ascii="Arial" w:hAnsi="Arial" w:eastAsia="Arial"/>
          <w:b w:val="true"/>
          <w:color w:val="000000"/>
          <w:spacing w:val="0"/>
          <w:w w:val="100"/>
          <w:sz w:val="16"/>
          <w:vertAlign w:val="baseline"/>
          <w:lang w:val="en-US"/>
        </w:rPr>
        <w:t xml:space="preserve">Other project proponent(s):</w:t>
      </w:r>
    </w:p>
    <w:p>
      <w:pPr>
        <w:spacing w:before="368" w:after="0" w:line="397"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0" w:after="0" w:line="185"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Name: Central Place Sydney</w:t>
      </w:r>
    </w:p>
    <w:p>
      <w:pPr>
        <w:spacing w:before="156" w:after="0" w:line="185"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14-30 Lee Street, Haymarket, Sydney NSW 2000</w:t>
      </w:r>
    </w:p>
    <w:p>
      <w:pPr>
        <w:spacing w:before="131" w:after="0" w:line="185"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56" w:after="0" w:line="185"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37" w:after="0" w:line="185"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Capital expenditure: $ 854,500,000</w:t>
      </w:r>
    </w:p>
    <w:p>
      <w:pPr>
        <w:spacing w:before="126" w:after="0" w:line="219" w:lineRule="exact"/>
        <w:ind w:right="576"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Description: Dexus CPA Pty Ltd as trustee for Dexus CPA Commercial Property Trust (Dexus) and Gateway Building Nominees Pty Ltd as trustee for The Gateway Building Trust (Frasers Property Australia) are seeking to build a vibrant new business district and revitalise the face of Sydney’s busiest transport interchange at 14-30 Lee Street, Haymarket, otherwise known as Central Place Sydney within the Western Gateway Sub-Precinct. Central Place Sydney is expected to consist of 155,000m2 (140,000m2 NLA) of commercial and retail GFA, two towers and lower and upper ground plane over a three-level basement. More specifically the project is expected to include: • Two commercial towers comprising 38,000m2 and 48,000m2 in NLA with floorplates of approx. 1,600 m2 and 2,000m2 GFA; • A low-rise sculptural hub building that connects to the north and south towers offering 54,000m2 NLA at the lower levels, creating large campus floor plates of 4-5,000m2; • A retail offering of approx. 5,000m2 accessible from lower and upper ground levels; and • Three levels of basement car parking.</w:t>
      </w:r>
    </w:p>
    <w:p>
      <w:pPr>
        <w:spacing w:before="137" w:after="4442" w:line="185"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03 Nov 2029</w:t>
      </w:r>
    </w:p>
    <w:p>
      <w:pPr>
        <w:spacing w:before="137" w:after="4442" w:line="185"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5</w:t>
      </w:r>
    </w:p>
    <w:p>
      <w:pPr>
        <w:sectPr>
          <w:type w:val="continuous"/>
          <w:pgSz w:w="11904" w:h="16843" w:orient="portrait"/>
          <w:pgMar w:bottom="867" w:top="1040" w:right="1026" w:left="977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12pt;height:50.7pt;z-index:-1;margin-left:134.4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3"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Wed Mar 15 2023 12:02:06 GMT+1 100 (AEDT)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90pt;height:188.15pt;z-index:-1;margin-left:52.1pt;margin-top:102.7pt;mso-wrap-distance-left:0pt;mso-wrap-distance-right:0pt;mso-position-horizontal-relative:page;mso-position-vertical-relative:page">
            <w10:wrap type="square" side="both"/>
            <v:fill opacity="1" o:opacity2="1" recolor="f" rotate="f" type="solid"/>
            <v:textbox inset="0pt, 0pt, 0pt, 0pt">
              <w:txbxContent>
                <w:p>
                  <w:pPr>
                    <w:spacing w:before="0" w:after="0" w:line="395"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p>
                  <w:pPr>
                    <w:spacing w:before="191" w:after="0" w:line="145" w:lineRule="exact"/>
                    <w:ind w:right="0" w:left="0" w:firstLine="0"/>
                    <w:jc w:val="center"/>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spacing w:before="0" w:after="0" w:line="123" w:lineRule="exact"/>
                    <w:ind w:right="0" w:left="2664"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tabs>
                      <w:tab w:val="left" w:leader="none" w:pos="2664"/>
                      <w:tab w:val="right" w:leader="none" w:pos="5688"/>
                    </w:tabs>
                    <w:spacing w:before="0" w:after="0" w:line="188"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0" w:line="176" w:lineRule="exact"/>
                    <w:ind w:right="0" w:left="0" w:firstLine="0"/>
                    <w:jc w:val="center"/>
                    <w:textAlignment w:val="baseline"/>
                    <w:rPr>
                      <w:rFonts w:ascii="Arial" w:hAnsi="Arial" w:eastAsia="Arial"/>
                      <w:b w:val="true"/>
                      <w:color w:val="000000"/>
                      <w:spacing w:val="-5"/>
                      <w:w w:val="100"/>
                      <w:sz w:val="17"/>
                      <w:vertAlign w:val="baseline"/>
                      <w:lang w:val="en-US"/>
                    </w:rPr>
                  </w:pPr>
                  <w:r>
                    <w:rPr>
                      <w:rFonts w:ascii="Arial" w:hAnsi="Arial" w:eastAsia="Arial"/>
                      <w:b w:val="true"/>
                      <w:color w:val="000000"/>
                      <w:spacing w:val="-5"/>
                      <w:w w:val="100"/>
                      <w:sz w:val="17"/>
                      <w:vertAlign w:val="baseline"/>
                      <w:lang w:val="en-US"/>
                    </w:rPr>
                    <w:t xml:space="preserve">entities</w:t>
                  </w:r>
                </w:p>
                <w:p>
                  <w:pPr>
                    <w:tabs>
                      <w:tab w:val="left" w:leader="none" w:pos="3240"/>
                      <w:tab w:val="right" w:leader="none" w:pos="5256"/>
                    </w:tabs>
                    <w:spacing w:before="32"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Architecture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240"/>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240"/>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Landscape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240"/>
                      <w:tab w:val="right" w:leader="none" w:pos="5256"/>
                    </w:tabs>
                    <w:spacing w:before="2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Specialist Consultants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right" w:leader="none" w:pos="5256"/>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Site Investigation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240"/>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Main Contractor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Manager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240"/>
                      <w:tab w:val="right" w:leader="none" w:pos="5256"/>
                    </w:tabs>
                    <w:spacing w:before="48"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Early works demolition / exevation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14" w:line="173"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contractor</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35.35pt;height:22.1pt;z-index:-1;margin-left:356.9pt;margin-top:162.2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both"/>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Explanation for no opportunities for Australian entities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29pt;height:488.15pt;z-index:-1;margin-left:50.65pt;margin-top:290.8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left" w:leader="none" w:pos="5112"/>
                    </w:tabs>
                    <w:spacing w:before="15" w:after="0" w:line="220"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Early works demolition / excavation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3"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contractor</w:t>
                  </w:r>
                </w:p>
                <w:p>
                  <w:pPr>
                    <w:tabs>
                      <w:tab w:val="left" w:leader="none" w:pos="3240"/>
                      <w:tab w:val="left" w:leader="none" w:pos="5112"/>
                    </w:tabs>
                    <w:spacing w:before="34"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Fit Out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No</w:t>
                  </w:r>
                </w:p>
                <w:p>
                  <w:pPr>
                    <w:spacing w:before="310" w:after="0" w:line="91" w:lineRule="exact"/>
                    <w:ind w:right="0" w:left="0" w:firstLine="0"/>
                    <w:jc w:val="lef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w:t>
                  </w:r>
                </w:p>
                <w:p>
                  <w:pPr>
                    <w:spacing w:before="0" w:after="0" w:line="14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 Australian entity is an entity with an ABN or ACN</w:t>
                  </w:r>
                </w:p>
                <w:p>
                  <w:pPr>
                    <w:spacing w:before="129" w:after="0" w:line="187"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standards:</w:t>
                  </w:r>
                </w:p>
                <w:p>
                  <w:pPr>
                    <w:spacing w:before="154" w:after="0" w:line="187" w:lineRule="exact"/>
                    <w:ind w:right="0" w:left="64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Australian</w:t>
                  </w:r>
                </w:p>
                <w:p>
                  <w:pPr>
                    <w:spacing w:before="468" w:after="0" w:line="397"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0"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68" w:after="0" w:line="191" w:lineRule="exact"/>
                    <w:ind w:right="0" w:left="216"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Contact person name </w:t>
                  </w:r>
                  <w:r>
                    <w:rPr>
                      <w:rFonts w:ascii="Arial" w:hAnsi="Arial" w:eastAsia="Arial"/>
                      <w:color w:val="000000"/>
                      <w:spacing w:val="-3"/>
                      <w:w w:val="100"/>
                      <w:sz w:val="16"/>
                      <w:vertAlign w:val="baseline"/>
                      <w:lang w:val="en-US"/>
                    </w:rPr>
                    <w:t xml:space="preserve">Scott Egelton</w:t>
                  </w:r>
                </w:p>
                <w:p>
                  <w:pPr>
                    <w:spacing w:before="30" w:after="0" w:line="191" w:lineRule="exact"/>
                    <w:ind w:right="0" w:left="0"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Contact person position </w:t>
                  </w:r>
                  <w:r>
                    <w:rPr>
                      <w:rFonts w:ascii="Arial" w:hAnsi="Arial" w:eastAsia="Arial"/>
                      <w:color w:val="000000"/>
                      <w:spacing w:val="-2"/>
                      <w:w w:val="100"/>
                      <w:sz w:val="16"/>
                      <w:vertAlign w:val="baseline"/>
                      <w:lang w:val="en-US"/>
                    </w:rPr>
                    <w:t xml:space="preserve">Project Management - Project Director</w:t>
                  </w:r>
                </w:p>
                <w:p>
                  <w:pPr>
                    <w:spacing w:before="30" w:after="0" w:line="191" w:lineRule="exact"/>
                    <w:ind w:right="0" w:left="648"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Phone number </w:t>
                  </w:r>
                  <w:r>
                    <w:rPr>
                      <w:rFonts w:ascii="Arial" w:hAnsi="Arial" w:eastAsia="Arial"/>
                      <w:color w:val="000000"/>
                      <w:spacing w:val="-3"/>
                      <w:w w:val="100"/>
                      <w:sz w:val="16"/>
                      <w:vertAlign w:val="baseline"/>
                      <w:lang w:val="en-US"/>
                    </w:rPr>
                    <w:t xml:space="preserve">0412279782</w:t>
                  </w:r>
                </w:p>
                <w:p>
                  <w:pPr>
                    <w:spacing w:before="30" w:after="0" w:line="191" w:lineRule="exact"/>
                    <w:ind w:right="0" w:left="1368"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E-mail </w:t>
                  </w:r>
                  <w:hyperlink r:id="dhId1">
                    <w:r>
                      <w:rPr>
                        <w:rFonts w:ascii="Arial" w:hAnsi="Arial" w:eastAsia="Arial"/>
                        <w:color w:val="0000FF"/>
                        <w:spacing w:val="-1"/>
                        <w:w w:val="100"/>
                        <w:sz w:val="16"/>
                        <w:u w:val="single"/>
                        <w:vertAlign w:val="baseline"/>
                        <w:lang w:val="en-US"/>
                      </w:rPr>
                      <w:t xml:space="preserve">scott@pierproperty.com.au</w:t>
                    </w:r>
                  </w:hyperlink>
                  <w:r>
                    <w:rPr>
                      <w:rFonts w:ascii="Arial" w:hAnsi="Arial" w:eastAsia="Arial"/>
                      <w:color w:val="000000"/>
                      <w:spacing w:val="-1"/>
                      <w:w w:val="100"/>
                      <w:sz w:val="16"/>
                      <w:vertAlign w:val="baseline"/>
                      <w:lang w:val="en-US"/>
                    </w:rPr>
                    <w:t xml:space="preserve">
</w:t>
                  </w:r>
                </w:p>
                <w:p>
                  <w:pPr>
                    <w:spacing w:before="48" w:after="0" w:line="32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https://centralplacesydney.com/</w:t>
                    <w:br/>
                  </w:r>
                  <w:r>
                    <w:rPr>
                      <w:rFonts w:ascii="Arial" w:hAnsi="Arial" w:eastAsia="Arial"/>
                      <w:color w:val="000000"/>
                      <w:spacing w:val="0"/>
                      <w:w w:val="100"/>
                      <w:sz w:val="16"/>
                      <w:vertAlign w:val="baseline"/>
                      <w:lang w:val="en-US"/>
                    </w:rPr>
                    <w:t xml:space="preserve">Project opportunities website: https://centralplacesydney.com/</w:t>
                    <w:br/>
                  </w:r>
                  <w:r>
                    <w:rPr>
                      <w:rFonts w:ascii="Arial" w:hAnsi="Arial" w:eastAsia="Arial"/>
                      <w:color w:val="000000"/>
                      <w:spacing w:val="0"/>
                      <w:w w:val="100"/>
                      <w:sz w:val="16"/>
                      <w:vertAlign w:val="baseline"/>
                      <w:lang w:val="en-US"/>
                    </w:rPr>
                    <w:t xml:space="preserve">Supplier engagement and communication actions :</w:t>
                  </w:r>
                </w:p>
                <w:p>
                  <w:pPr>
                    <w:spacing w:before="134" w:after="0" w:line="187" w:lineRule="exact"/>
                    <w:ind w:right="0" w:left="0" w:firstLine="0"/>
                    <w:jc w:val="center"/>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4" w:after="0" w:line="187" w:lineRule="exact"/>
                    <w:ind w:right="0" w:left="648"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Issue media releases or ASX announcements on project developments and opportunities</w:t>
                  </w:r>
                </w:p>
                <w:p>
                  <w:pPr>
                    <w:spacing w:before="34" w:after="0" w:line="187"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4" w:after="3177" w:line="187"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5.2pt;height:12.65pt;z-index:-1;margin-left:487.9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2976" w:left="1013"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Wed Mar 15 2023 12:02:06 GMT+1 100 (AEDT) *****</w:t>
      </w:r>
    </w:p>
    <w:p>
      <w:pPr>
        <w:spacing w:before="3" w:after="813" w:line="188" w:lineRule="exact"/>
        <w:sectPr>
          <w:type w:val="nextPage"/>
          <w:pgSz w:w="11904" w:h="16843" w:orient="portrait"/>
          <w:pgMar w:bottom="867" w:top="1040" w:right="2976" w:left="2688"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1"/>
          <w:w w:val="100"/>
          <w:sz w:val="34"/>
          <w:vertAlign w:val="baseline"/>
          <w:lang w:val="en-US"/>
        </w:rPr>
      </w:pPr>
      <w:r>
        <w:rPr>
          <w:rFonts w:ascii="Arial" w:hAnsi="Arial" w:eastAsia="Arial"/>
          <w:color w:val="000000"/>
          <w:spacing w:val="-1"/>
          <w:w w:val="100"/>
          <w:sz w:val="34"/>
          <w:vertAlign w:val="baseline"/>
          <w:lang w:val="en-US"/>
        </w:rPr>
        <w:t xml:space="preserve">Building Australian industry capability</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5" w:after="0" w:line="216"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Facilitate strategic partnering and joint ventures between Australian and international suppliers</w:t>
        <w:br/>
      </w:r>
      <w:r>
        <w:rPr>
          <w:rFonts w:ascii="Arial" w:hAnsi="Arial" w:eastAsia="Arial"/>
          <w:color w:val="000000"/>
          <w:spacing w:val="0"/>
          <w:w w:val="100"/>
          <w:sz w:val="16"/>
          <w:vertAlign w:val="baseline"/>
          <w:lang w:val="en-US"/>
        </w:rPr>
        <w:t xml:space="preserve">Nominate potential global product suppliers for main contractor consideration</w:t>
      </w:r>
    </w:p>
    <w:p>
      <w:pPr>
        <w:spacing w:before="197"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5" w:after="9701" w:line="221"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CPS will provide detailed debriefing all unsuccessful main contractor bidders providing specific feedback on areas of improvement they may consider in future tender submissions. the Main Contractor willl also offer feedback to unsuccessful Australian bidders for subcontracts.</w:t>
      </w:r>
    </w:p>
    <w:p>
      <w:pPr>
        <w:spacing w:before="95" w:after="9701" w:line="221" w:lineRule="exact"/>
        <w:sectPr>
          <w:type w:val="continuous"/>
          <w:pgSz w:w="11904" w:h="16843" w:orient="portrait"/>
          <w:pgMar w:bottom="867" w:top="1040" w:right="145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3 of 5</w:t>
      </w:r>
    </w:p>
    <w:p>
      <w:pPr>
        <w:sectPr>
          <w:type w:val="continuous"/>
          <w:pgSz w:w="11904" w:h="16843" w:orient="portrait"/>
          <w:pgMar w:bottom="867" w:top="1040" w:right="1034" w:left="9770" w:header="720" w:footer="720"/>
          <w:titlePg w:val="false"/>
          <w:textDirection w:val="lrTb"/>
        </w:sectPr>
      </w:pPr>
    </w:p>
    <w:p>
      <w:pPr>
        <w:spacing w:before="3" w:after="0" w:line="188"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Wed Mar 15 2023 12:02:06 GMT+1 100 (AEDT) *****</w:t>
      </w:r>
    </w:p>
    <w:p>
      <w:pPr>
        <w:spacing w:before="901" w:after="100"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p>
      <w:pPr>
        <w:spacing w:before="122" w:after="0" w:line="190" w:lineRule="exact"/>
        <w:ind w:right="36" w:left="0" w:firstLine="0"/>
        <w:jc w:val="left"/>
        <w:textAlignment w:val="baseline"/>
        <w:rPr>
          <w:rFonts w:ascii="Arial" w:hAnsi="Arial" w:eastAsia="Arial"/>
          <w:b w:val="true"/>
          <w:color w:val="000000"/>
          <w:spacing w:val="-4"/>
          <w:w w:val="100"/>
          <w:sz w:val="17"/>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4"/>
          <w:w w:val="100"/>
          <w:sz w:val="17"/>
          <w:vertAlign w:val="baseline"/>
          <w:lang w:val="en-US"/>
        </w:rPr>
        <w:t xml:space="preserve">Nominated facility operator: </w:t>
      </w:r>
      <w:r>
        <w:rPr>
          <w:rFonts w:ascii="Arial" w:hAnsi="Arial" w:eastAsia="Arial"/>
          <w:color w:val="000000"/>
          <w:spacing w:val="-4"/>
          <w:w w:val="100"/>
          <w:sz w:val="16"/>
          <w:vertAlign w:val="baseline"/>
          <w:lang w:val="en-US"/>
        </w:rPr>
        <w:t xml:space="preserve">DEXUS CPA PTY LTD</w:t>
      </w:r>
    </w:p>
    <w:p>
      <w:pPr>
        <w:spacing w:before="342" w:after="0" w:line="397" w:lineRule="exact"/>
        <w:ind w:right="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49" w:after="0" w:line="187" w:lineRule="exact"/>
        <w:ind w:right="36"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Central Place Sydney</w:t>
      </w:r>
    </w:p>
    <w:p>
      <w:pPr>
        <w:spacing w:before="135" w:after="0" w:line="187" w:lineRule="exact"/>
        <w:ind w:right="3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14-30 Lee Street, Haymarket, Sydney NSW 2000</w:t>
      </w:r>
    </w:p>
    <w:p>
      <w:pPr>
        <w:spacing w:before="154" w:after="0" w:line="187"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Other productive facility</w:t>
      </w:r>
    </w:p>
    <w:p>
      <w:pPr>
        <w:spacing w:before="405" w:after="0" w:line="397" w:lineRule="exact"/>
        <w:ind w:right="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0" w:after="149" w:line="187" w:lineRule="exact"/>
        <w:ind w:right="36"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bl>
      <w:tblPr>
        <w:jc w:val="left"/>
        <w:tblLayout w:type="fixed"/>
        <w:tblCellMar>
          <w:left w:w="0" w:type="dxa"/>
          <w:right w:w="0" w:type="dxa"/>
        </w:tblCellMar>
      </w:tblPr>
      <w:tblGrid>
        <w:gridCol w:w="1685"/>
        <w:gridCol w:w="2013"/>
        <w:gridCol w:w="1671"/>
        <w:gridCol w:w="4711"/>
      </w:tblGrid>
      <w:tr>
        <w:trPr>
          <w:trHeight w:val="695" w:hRule="exact"/>
        </w:trPr>
        <w:tc>
          <w:tcPr>
            <w:tcW w:w="1685" w:type="dxa"/>
            <w:tcBorders>
              <w:top w:val="none"/>
              <w:left w:val="none"/>
              <w:bottom w:val="none"/>
              <w:right w:val="none"/>
            </w:tcBorders>
            <w:textDirection w:val="lrTb"/>
            <w:vAlign w:val="top"/>
          </w:tcPr>
          <w:p>
            <w:pPr>
              <w:spacing w:before="101" w:after="138" w:line="221"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w:t>
            </w:r>
          </w:p>
        </w:tc>
        <w:tc>
          <w:tcPr>
            <w:tcW w:w="2013" w:type="dxa"/>
            <w:tcBorders>
              <w:top w:val="none"/>
              <w:left w:val="none"/>
              <w:bottom w:val="none"/>
              <w:right w:val="none"/>
            </w:tcBorders>
            <w:textDirection w:val="lrTb"/>
            <w:vAlign w:val="top"/>
          </w:tcPr>
          <w:p>
            <w:pPr>
              <w:spacing w:before="97" w:after="142" w:line="221" w:lineRule="exact"/>
              <w:ind w:right="0" w:left="18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Australian entities</w:t>
            </w:r>
            <w:r>
              <w:rPr>
                <w:rFonts w:ascii="Arial" w:hAnsi="Arial" w:eastAsia="Arial"/>
                <w:b w:val="true"/>
                <w:color w:val="000000"/>
                <w:spacing w:val="0"/>
                <w:w w:val="100"/>
                <w:sz w:val="17"/>
                <w:vertAlign w:val="superscript"/>
                <w:lang w:val="en-US"/>
              </w:rPr>
              <w:t xml:space="preserve">*</w:t>
            </w:r>
            <w:r>
              <w:rPr>
                <w:rFonts w:ascii="Arial" w:hAnsi="Arial" w:eastAsia="Arial"/>
                <w:b w:val="true"/>
                <w:color w:val="000000"/>
                <w:spacing w:val="0"/>
                <w:w w:val="100"/>
                <w:sz w:val="12"/>
                <w:vertAlign w:val="baseline"/>
                <w:lang w:val="en-US"/>
              </w:rPr>
              <w:t xml:space="preserve">
</w:t>
            </w:r>
          </w:p>
        </w:tc>
        <w:tc>
          <w:tcPr>
            <w:tcW w:w="1671" w:type="dxa"/>
            <w:tcBorders>
              <w:top w:val="none"/>
              <w:left w:val="none"/>
              <w:bottom w:val="none"/>
              <w:right w:val="none"/>
            </w:tcBorders>
            <w:textDirection w:val="lrTb"/>
            <w:vAlign w:val="top"/>
          </w:tcPr>
          <w:p>
            <w:pPr>
              <w:spacing w:before="0" w:after="18" w:line="221" w:lineRule="exact"/>
              <w:ind w:right="0" w:left="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non-Australian</w:t>
              <w:br/>
            </w:r>
            <w:r>
              <w:rPr>
                <w:rFonts w:ascii="Arial" w:hAnsi="Arial" w:eastAsia="Arial"/>
                <w:b w:val="true"/>
                <w:color w:val="000000"/>
                <w:spacing w:val="0"/>
                <w:w w:val="100"/>
                <w:sz w:val="17"/>
                <w:vertAlign w:val="baseline"/>
                <w:lang w:val="en-US"/>
              </w:rPr>
              <w:t xml:space="preserve">entities</w:t>
            </w:r>
          </w:p>
        </w:tc>
        <w:tc>
          <w:tcPr>
            <w:tcW w:w="4711" w:type="dxa"/>
            <w:tcBorders>
              <w:top w:val="none"/>
              <w:left w:val="none"/>
              <w:bottom w:val="none"/>
              <w:right w:val="none"/>
            </w:tcBorders>
            <w:textDirection w:val="lrTb"/>
            <w:vAlign w:val="top"/>
          </w:tcPr>
          <w:p>
            <w:pPr>
              <w:spacing w:before="101" w:after="138" w:line="221" w:lineRule="exact"/>
              <w:ind w:right="1080" w:left="144"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Explanation for no opportunities for Australian entities</w:t>
            </w:r>
          </w:p>
        </w:tc>
      </w:tr>
    </w:tbl>
    <w:p>
      <w:pPr>
        <w:tabs>
          <w:tab w:val="left" w:leader="none" w:pos="2664"/>
          <w:tab w:val="left" w:leader="none" w:pos="4464"/>
        </w:tabs>
        <w:spacing w:before="1" w:after="0" w:line="187" w:lineRule="exact"/>
        <w:ind w:right="36"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Facilities Manager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2664"/>
          <w:tab w:val="left" w:leader="none" w:pos="4464"/>
        </w:tabs>
        <w:spacing w:before="29" w:after="0" w:line="187" w:lineRule="exact"/>
        <w:ind w:right="36"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Cleanings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2664"/>
          <w:tab w:val="left" w:leader="none" w:pos="4464"/>
        </w:tabs>
        <w:spacing w:before="33" w:after="0" w:line="187" w:lineRule="exact"/>
        <w:ind w:right="36"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Security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346" w:after="0" w:line="195" w:lineRule="exact"/>
        <w:ind w:right="36" w:left="144" w:firstLine="0"/>
        <w:jc w:val="left"/>
        <w:textAlignment w:val="baseline"/>
        <w:rPr>
          <w:rFonts w:ascii="Arial" w:hAnsi="Arial" w:eastAsia="Arial"/>
          <w:color w:val="000000"/>
          <w:spacing w:val="-3"/>
          <w:w w:val="100"/>
          <w:sz w:val="12"/>
          <w:vertAlign w:val="superscript"/>
          <w:lang w:val="en-US"/>
        </w:rPr>
      </w:pPr>
      <w:r>
        <w:rPr>
          <w:rFonts w:ascii="Arial" w:hAnsi="Arial" w:eastAsia="Arial"/>
          <w:color w:val="000000"/>
          <w:spacing w:val="-3"/>
          <w:w w:val="100"/>
          <w:sz w:val="12"/>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56" w:after="0" w:line="187"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standards:</w:t>
      </w:r>
    </w:p>
    <w:p>
      <w:pPr>
        <w:spacing w:before="129" w:after="0" w:line="187" w:lineRule="exact"/>
        <w:ind w:right="36"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68" w:after="0" w:line="397" w:lineRule="exact"/>
        <w:ind w:right="36" w:left="144"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0" w:after="0" w:line="187"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operator’s contact person for supplier enquiries:</w:t>
      </w:r>
    </w:p>
    <w:p>
      <w:pPr>
        <w:spacing w:before="152" w:after="0" w:line="190" w:lineRule="exact"/>
        <w:ind w:right="36" w:left="360"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Contact person name </w:t>
      </w:r>
      <w:r>
        <w:rPr>
          <w:rFonts w:ascii="Arial" w:hAnsi="Arial" w:eastAsia="Arial"/>
          <w:color w:val="000000"/>
          <w:spacing w:val="-3"/>
          <w:w w:val="100"/>
          <w:sz w:val="16"/>
          <w:vertAlign w:val="baseline"/>
          <w:lang w:val="en-US"/>
        </w:rPr>
        <w:t xml:space="preserve">Scott Egelton</w:t>
      </w:r>
    </w:p>
    <w:p>
      <w:pPr>
        <w:spacing w:before="31" w:after="0" w:line="190" w:lineRule="exact"/>
        <w:ind w:right="36" w:left="144"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Contact person position </w:t>
      </w:r>
      <w:r>
        <w:rPr>
          <w:rFonts w:ascii="Arial" w:hAnsi="Arial" w:eastAsia="Arial"/>
          <w:color w:val="000000"/>
          <w:spacing w:val="-2"/>
          <w:w w:val="100"/>
          <w:sz w:val="16"/>
          <w:vertAlign w:val="baseline"/>
          <w:lang w:val="en-US"/>
        </w:rPr>
        <w:t xml:space="preserve">Project Management - Project Director</w:t>
      </w:r>
    </w:p>
    <w:p>
      <w:pPr>
        <w:spacing w:before="26" w:after="0" w:line="190" w:lineRule="exact"/>
        <w:ind w:right="36" w:left="792"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Phone number </w:t>
      </w:r>
      <w:r>
        <w:rPr>
          <w:rFonts w:ascii="Arial" w:hAnsi="Arial" w:eastAsia="Arial"/>
          <w:color w:val="000000"/>
          <w:spacing w:val="-3"/>
          <w:w w:val="100"/>
          <w:sz w:val="16"/>
          <w:vertAlign w:val="baseline"/>
          <w:lang w:val="en-US"/>
        </w:rPr>
        <w:t xml:space="preserve">0412279782</w:t>
      </w:r>
    </w:p>
    <w:p>
      <w:pPr>
        <w:spacing w:before="30" w:after="0" w:line="190" w:lineRule="exact"/>
        <w:ind w:right="36" w:left="1512"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E-mail </w:t>
      </w:r>
      <w:hyperlink r:id="dhId2">
        <w:r>
          <w:rPr>
            <w:rFonts w:ascii="Arial" w:hAnsi="Arial" w:eastAsia="Arial"/>
            <w:color w:val="0000FF"/>
            <w:spacing w:val="-1"/>
            <w:w w:val="100"/>
            <w:sz w:val="16"/>
            <w:u w:val="single"/>
            <w:vertAlign w:val="baseline"/>
            <w:lang w:val="en-US"/>
          </w:rPr>
          <w:t xml:space="preserve">scott@pierproperty.com.au</w:t>
        </w:r>
      </w:hyperlink>
      <w:r>
        <w:rPr>
          <w:rFonts w:ascii="Arial" w:hAnsi="Arial" w:eastAsia="Arial"/>
          <w:color w:val="000000"/>
          <w:spacing w:val="-1"/>
          <w:w w:val="100"/>
          <w:sz w:val="16"/>
          <w:vertAlign w:val="baseline"/>
          <w:lang w:val="en-US"/>
        </w:rPr>
        <w:t xml:space="preserve">
</w:t>
      </w:r>
    </w:p>
    <w:p>
      <w:pPr>
        <w:spacing w:before="48" w:after="0" w:line="331" w:lineRule="exact"/>
        <w:ind w:right="3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https://centralplacesydney.com/</w:t>
        <w:br/>
      </w:r>
      <w:r>
        <w:rPr>
          <w:rFonts w:ascii="Arial" w:hAnsi="Arial" w:eastAsia="Arial"/>
          <w:color w:val="000000"/>
          <w:spacing w:val="0"/>
          <w:w w:val="100"/>
          <w:sz w:val="16"/>
          <w:vertAlign w:val="baseline"/>
          <w:lang w:val="en-US"/>
        </w:rPr>
        <w:t xml:space="preserve">Facility opportunities website: https://centralplacesydney.com/</w:t>
        <w:br/>
      </w:r>
      <w:r>
        <w:rPr>
          <w:rFonts w:ascii="Arial" w:hAnsi="Arial" w:eastAsia="Arial"/>
          <w:color w:val="000000"/>
          <w:spacing w:val="0"/>
          <w:w w:val="100"/>
          <w:sz w:val="16"/>
          <w:vertAlign w:val="baseline"/>
          <w:lang w:val="en-US"/>
        </w:rPr>
        <w:t xml:space="preserve">Supplier engagement and communication actions :</w:t>
      </w:r>
    </w:p>
    <w:p>
      <w:pPr>
        <w:spacing w:before="135" w:after="0" w:line="187" w:lineRule="exact"/>
        <w:ind w:right="36"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29" w:after="0" w:line="187" w:lineRule="exact"/>
        <w:ind w:right="36" w:left="79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3" w:after="0" w:line="187" w:lineRule="exact"/>
        <w:ind w:right="36"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4" w:after="0" w:line="187" w:lineRule="exact"/>
        <w:ind w:right="36"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1666"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5</w:t>
      </w:r>
    </w:p>
    <w:p>
      <w:pPr>
        <w:sectPr>
          <w:type w:val="nextPage"/>
          <w:pgSz w:w="11904" w:h="16843" w:orient="portrait"/>
          <w:pgMar w:bottom="867" w:top="1040" w:right="946" w:left="878"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Wed Mar 15 2023 12:02:06 GMT+1 100 (AEDT) *****</w:t>
      </w:r>
    </w:p>
    <w:p>
      <w:pPr>
        <w:spacing w:before="3" w:after="813" w:line="188" w:lineRule="exact"/>
        <w:sectPr>
          <w:type w:val="nextPage"/>
          <w:pgSz w:w="11904" w:h="16843" w:orient="portrait"/>
          <w:pgMar w:bottom="867" w:top="1040" w:right="2976" w:left="2688"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1"/>
          <w:w w:val="100"/>
          <w:sz w:val="34"/>
          <w:vertAlign w:val="baseline"/>
          <w:lang w:val="en-US"/>
        </w:rPr>
      </w:pPr>
      <w:r>
        <w:rPr>
          <w:rFonts w:ascii="Arial" w:hAnsi="Arial" w:eastAsia="Arial"/>
          <w:color w:val="000000"/>
          <w:spacing w:val="-1"/>
          <w:w w:val="100"/>
          <w:sz w:val="34"/>
          <w:vertAlign w:val="baseline"/>
          <w:lang w:val="en-US"/>
        </w:rPr>
        <w:t xml:space="preserve">Building Australian industry capability</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Transfer new product and process technology to suppliers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0" w:after="0" w:line="360" w:lineRule="exact"/>
        <w:ind w:right="0" w:left="0" w:firstLine="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Nominate potential global product suppliers for main contractor consideration</w:t>
        <w:br/>
      </w:r>
      <w:r>
        <w:rPr>
          <w:rFonts w:ascii="Arial" w:hAnsi="Arial" w:eastAsia="Arial"/>
          <w:color w:val="000000"/>
          <w:spacing w:val="0"/>
          <w:w w:val="100"/>
          <w:sz w:val="16"/>
          <w:vertAlign w:val="baseline"/>
          <w:lang w:val="en-US"/>
        </w:rPr>
        <w:t xml:space="preserve">Feedback process for unsuccessful bidders:</w:t>
      </w:r>
    </w:p>
    <w:p>
      <w:pPr>
        <w:spacing w:before="104" w:after="9922"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CPS Facilities Management team will provide detailed debriefing all unsuccessful contractor bidders providing specific feedback on areas of improvement they may consider in future tender submissions. The contractor will also offer feedback in the event of subcontracting opportunities.This will be a requirement and contractural obligation of the main contractor.</w:t>
      </w:r>
    </w:p>
    <w:p>
      <w:pPr>
        <w:spacing w:before="104" w:after="9922" w:line="218" w:lineRule="exact"/>
        <w:sectPr>
          <w:type w:val="continuous"/>
          <w:pgSz w:w="11904" w:h="16843" w:orient="portrait"/>
          <w:pgMar w:bottom="867" w:top="1040" w:right="150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5</w:t>
      </w:r>
    </w:p>
    <w:sectPr>
      <w:type w:val="continuous"/>
      <w:pgSz w:w="11904" w:h="16843" w:orient="portrait"/>
      <w:pgMar w:bottom="867" w:top="1040" w:right="1026" w:left="97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scott@pierproperty.com.au"/><Relationship Id="dhId2" Type="http://schemas.openxmlformats.org/officeDocument/2006/relationships/hyperlink" TargetMode="External" Target="mailto:scott@pierproperty.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2023-03-16T07:11:47Z</dcterms:created>
  <dcterms:modified xsi:type="dcterms:W3CDTF">2023-03-16T07:11:47Z</dcterms:modified>
</cp:coreProperties>
</file>