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2E30" w14:textId="77777777" w:rsidR="00C31228" w:rsidRDefault="00032E61">
      <w:pPr>
        <w:spacing w:after="162"/>
        <w:ind w:left="3629" w:right="4025"/>
        <w:textAlignment w:val="baseline"/>
      </w:pPr>
      <w:r>
        <w:rPr>
          <w:noProof/>
        </w:rPr>
        <w:drawing>
          <wp:inline distT="0" distB="0" distL="0" distR="0" wp14:anchorId="02416F71" wp14:editId="235CFF92">
            <wp:extent cx="1807210" cy="210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6C699" w14:textId="77777777" w:rsidR="00C31228" w:rsidRDefault="00032E61">
      <w:pPr>
        <w:spacing w:line="391" w:lineRule="exact"/>
        <w:ind w:left="3312"/>
        <w:textAlignment w:val="baseline"/>
        <w:rPr>
          <w:rFonts w:ascii="Arial" w:eastAsia="Arial" w:hAnsi="Arial"/>
          <w:color w:val="000000"/>
          <w:spacing w:val="6"/>
          <w:w w:val="95"/>
          <w:sz w:val="34"/>
        </w:rPr>
      </w:pPr>
      <w:r>
        <w:rPr>
          <w:rFonts w:ascii="Arial" w:eastAsia="Arial" w:hAnsi="Arial"/>
          <w:color w:val="000000"/>
          <w:spacing w:val="6"/>
          <w:w w:val="95"/>
          <w:sz w:val="34"/>
        </w:rPr>
        <w:t>Australian Jobs Act 2013</w:t>
      </w:r>
    </w:p>
    <w:p w14:paraId="389DA949" w14:textId="77777777" w:rsidR="00C31228" w:rsidRDefault="00032E61">
      <w:pPr>
        <w:spacing w:before="203" w:after="338" w:line="297" w:lineRule="exact"/>
        <w:ind w:left="3312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 xml:space="preserve">AIP Plan reference code: </w:t>
      </w:r>
      <w:r>
        <w:rPr>
          <w:rFonts w:ascii="Arial" w:eastAsia="Arial" w:hAnsi="Arial"/>
          <w:color w:val="000000"/>
          <w:spacing w:val="-1"/>
          <w:sz w:val="26"/>
        </w:rPr>
        <w:t>L7CL82QT</w:t>
      </w:r>
    </w:p>
    <w:p w14:paraId="137416DC" w14:textId="77777777" w:rsidR="00C31228" w:rsidRDefault="00032E61">
      <w:pPr>
        <w:spacing w:before="474" w:after="84" w:line="393" w:lineRule="exact"/>
        <w:jc w:val="center"/>
        <w:textAlignment w:val="baseline"/>
        <w:rPr>
          <w:rFonts w:ascii="Arial" w:eastAsia="Arial" w:hAnsi="Arial"/>
          <w:color w:val="000000"/>
          <w:spacing w:val="7"/>
          <w:w w:val="95"/>
          <w:sz w:val="34"/>
        </w:rPr>
      </w:pPr>
      <w:r>
        <w:pict w14:anchorId="41C53C63">
          <v:line id="_x0000_s1037" style="position:absolute;left:0;text-align:left;z-index:251653120;mso-position-horizontal-relative:page;mso-position-vertical-relative:page" from="27.85pt,212.65pt" to="552.9pt,212.65pt" strokecolor="#347c87" strokeweight="3.35pt">
            <w10:wrap anchorx="page" anchory="page"/>
          </v:line>
        </w:pict>
      </w:r>
      <w:r>
        <w:rPr>
          <w:rFonts w:ascii="Arial" w:eastAsia="Arial" w:hAnsi="Arial"/>
          <w:color w:val="000000"/>
          <w:spacing w:val="7"/>
          <w:w w:val="95"/>
          <w:sz w:val="34"/>
        </w:rPr>
        <w:t>Australian Industry Participation Plan Summary - Project Phase</w:t>
      </w:r>
    </w:p>
    <w:p w14:paraId="679DB862" w14:textId="77777777" w:rsidR="00C31228" w:rsidRDefault="00032E61">
      <w:pPr>
        <w:spacing w:before="123" w:line="182" w:lineRule="exact"/>
        <w:ind w:left="288"/>
        <w:textAlignment w:val="baseline"/>
        <w:rPr>
          <w:rFonts w:ascii="Arial" w:eastAsia="Arial" w:hAnsi="Arial"/>
          <w:b/>
          <w:color w:val="000000"/>
          <w:spacing w:val="-1"/>
          <w:sz w:val="16"/>
        </w:rPr>
      </w:pPr>
      <w:r>
        <w:pict w14:anchorId="46AA8339">
          <v:line id="_x0000_s1036" style="position:absolute;left:0;text-align:left;z-index:251654144;mso-position-horizontal-relative:page;mso-position-vertical-relative:page" from="43.9pt,259.45pt" to="538.15pt,259.45pt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-1"/>
          <w:sz w:val="16"/>
        </w:rPr>
        <w:t xml:space="preserve">Nominated project proponent: </w:t>
      </w:r>
      <w:r>
        <w:rPr>
          <w:rFonts w:ascii="Arial" w:eastAsia="Arial" w:hAnsi="Arial"/>
          <w:color w:val="000000"/>
          <w:spacing w:val="-1"/>
          <w:sz w:val="16"/>
        </w:rPr>
        <w:t>LIGHTSOURCE DEVELOPMENT SERVICES AUSTRALIA PTY LTD</w:t>
      </w:r>
    </w:p>
    <w:p w14:paraId="28B765DD" w14:textId="77777777" w:rsidR="00C31228" w:rsidRDefault="00032E61">
      <w:pPr>
        <w:spacing w:before="353" w:line="393" w:lineRule="exact"/>
        <w:ind w:left="504"/>
        <w:textAlignment w:val="baseline"/>
        <w:rPr>
          <w:rFonts w:ascii="Arial" w:eastAsia="Arial" w:hAnsi="Arial"/>
          <w:color w:val="000000"/>
          <w:w w:val="95"/>
          <w:sz w:val="34"/>
        </w:rPr>
      </w:pPr>
      <w:r>
        <w:rPr>
          <w:rFonts w:ascii="Arial" w:eastAsia="Arial" w:hAnsi="Arial"/>
          <w:color w:val="000000"/>
          <w:w w:val="95"/>
          <w:sz w:val="34"/>
        </w:rPr>
        <w:t>Project details</w:t>
      </w:r>
    </w:p>
    <w:p w14:paraId="1ECB9618" w14:textId="77777777" w:rsidR="00C31228" w:rsidRDefault="00032E61">
      <w:pPr>
        <w:spacing w:before="354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Name: Goulburn River Solar Farm and BESS</w:t>
      </w:r>
    </w:p>
    <w:p w14:paraId="0349E326" w14:textId="77777777" w:rsidR="00C31228" w:rsidRDefault="00032E61">
      <w:pPr>
        <w:spacing w:before="159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Location: 2771 Wollara Rd, Merriwa NSW 2329</w:t>
      </w:r>
    </w:p>
    <w:p w14:paraId="449BE6C5" w14:textId="77777777" w:rsidR="00C31228" w:rsidRDefault="00032E61">
      <w:pPr>
        <w:spacing w:before="134" w:line="182" w:lineRule="exact"/>
        <w:ind w:left="504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Type: Electricity facility</w:t>
      </w:r>
    </w:p>
    <w:p w14:paraId="2BF0F5BA" w14:textId="77777777" w:rsidR="00C31228" w:rsidRDefault="00032E61">
      <w:pPr>
        <w:spacing w:before="159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Purpose: Establish new facility</w:t>
      </w:r>
    </w:p>
    <w:p w14:paraId="560FA91A" w14:textId="77777777" w:rsidR="00C31228" w:rsidRDefault="00032E61">
      <w:pPr>
        <w:spacing w:before="140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Capital expenditure: $500 million - $1 billion</w:t>
      </w:r>
    </w:p>
    <w:p w14:paraId="31D71DB1" w14:textId="77777777" w:rsidR="00C31228" w:rsidRDefault="00032E61">
      <w:pPr>
        <w:spacing w:before="159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Description: 550 MWp solar farm, Battery and substation</w:t>
      </w:r>
    </w:p>
    <w:p w14:paraId="249AE193" w14:textId="77777777" w:rsidR="00C31228" w:rsidRDefault="00032E61">
      <w:pPr>
        <w:spacing w:before="134" w:line="182" w:lineRule="exact"/>
        <w:ind w:left="504"/>
        <w:textAlignment w:val="baseline"/>
        <w:rPr>
          <w:rFonts w:ascii="Arial" w:eastAsia="Arial" w:hAnsi="Arial"/>
          <w:color w:val="000000"/>
          <w:spacing w:val="-5"/>
          <w:sz w:val="16"/>
        </w:rPr>
      </w:pPr>
      <w:r>
        <w:rPr>
          <w:rFonts w:ascii="Arial" w:eastAsia="Arial" w:hAnsi="Arial"/>
          <w:color w:val="000000"/>
          <w:spacing w:val="-5"/>
          <w:sz w:val="16"/>
        </w:rPr>
        <w:t>Completio</w:t>
      </w:r>
      <w:r>
        <w:rPr>
          <w:rFonts w:ascii="Arial" w:eastAsia="Arial" w:hAnsi="Arial"/>
          <w:color w:val="000000"/>
          <w:spacing w:val="-5"/>
          <w:sz w:val="16"/>
        </w:rPr>
        <w:t>n date: 17 Jul 2026</w:t>
      </w:r>
    </w:p>
    <w:p w14:paraId="64CC88CF" w14:textId="77777777" w:rsidR="00C31228" w:rsidRDefault="00032E61">
      <w:pPr>
        <w:spacing w:before="435" w:line="393" w:lineRule="exact"/>
        <w:ind w:left="504"/>
        <w:textAlignment w:val="baseline"/>
        <w:rPr>
          <w:rFonts w:ascii="Arial" w:eastAsia="Arial" w:hAnsi="Arial"/>
          <w:color w:val="000000"/>
          <w:w w:val="95"/>
          <w:sz w:val="34"/>
        </w:rPr>
      </w:pPr>
      <w:r>
        <w:rPr>
          <w:rFonts w:ascii="Arial" w:eastAsia="Arial" w:hAnsi="Arial"/>
          <w:color w:val="000000"/>
          <w:w w:val="95"/>
          <w:sz w:val="34"/>
        </w:rPr>
        <w:t>Key goods and services</w:t>
      </w:r>
    </w:p>
    <w:p w14:paraId="15A9672F" w14:textId="77777777" w:rsidR="00C31228" w:rsidRDefault="00032E61">
      <w:pPr>
        <w:spacing w:before="354" w:after="105" w:line="182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Indicative list of key goods and services to be acquired for the project: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1973"/>
        <w:gridCol w:w="1671"/>
        <w:gridCol w:w="4212"/>
      </w:tblGrid>
      <w:tr w:rsidR="00C31228" w14:paraId="61683020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644" w:type="dxa"/>
            <w:vAlign w:val="center"/>
          </w:tcPr>
          <w:p w14:paraId="1EE844D4" w14:textId="77777777" w:rsidR="00C31228" w:rsidRDefault="00032E61">
            <w:pPr>
              <w:spacing w:before="312" w:after="225" w:line="182" w:lineRule="exact"/>
              <w:ind w:left="489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Key goods and services</w:t>
            </w:r>
          </w:p>
        </w:tc>
        <w:tc>
          <w:tcPr>
            <w:tcW w:w="1973" w:type="dxa"/>
            <w:vAlign w:val="center"/>
          </w:tcPr>
          <w:p w14:paraId="4FA528D2" w14:textId="77777777" w:rsidR="00C31228" w:rsidRDefault="00032E61">
            <w:pPr>
              <w:spacing w:before="162" w:after="133" w:line="212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Australian entities</w:t>
            </w:r>
            <w:r>
              <w:rPr>
                <w:rFonts w:ascii="Arial" w:eastAsia="Arial" w:hAnsi="Arial"/>
                <w:b/>
                <w:color w:val="000000"/>
                <w:sz w:val="16"/>
                <w:vertAlign w:val="superscript"/>
              </w:rPr>
              <w:t>*</w:t>
            </w:r>
            <w:r>
              <w:rPr>
                <w:rFonts w:ascii="Arial" w:eastAsia="Arial" w:hAnsi="Arial"/>
                <w:b/>
                <w:color w:val="000000"/>
                <w:sz w:val="7"/>
              </w:rPr>
              <w:t xml:space="preserve"> </w:t>
            </w:r>
          </w:p>
        </w:tc>
        <w:tc>
          <w:tcPr>
            <w:tcW w:w="1671" w:type="dxa"/>
          </w:tcPr>
          <w:p w14:paraId="0E1BD5C9" w14:textId="77777777" w:rsidR="00C31228" w:rsidRDefault="00032E61">
            <w:pPr>
              <w:spacing w:before="59" w:after="9" w:line="217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 xml:space="preserve">non-Australian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entities</w:t>
            </w:r>
          </w:p>
        </w:tc>
        <w:tc>
          <w:tcPr>
            <w:tcW w:w="4212" w:type="dxa"/>
            <w:vAlign w:val="center"/>
          </w:tcPr>
          <w:p w14:paraId="5CE53D29" w14:textId="77777777" w:rsidR="00C31228" w:rsidRDefault="00032E61">
            <w:pPr>
              <w:spacing w:before="156" w:after="129" w:line="217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Explanation for no opportunities for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Australian entities</w:t>
            </w:r>
          </w:p>
        </w:tc>
      </w:tr>
      <w:tr w:rsidR="00C31228" w14:paraId="60C27D7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644" w:type="dxa"/>
          </w:tcPr>
          <w:p w14:paraId="750B1A7B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3" w:type="dxa"/>
          </w:tcPr>
          <w:p w14:paraId="4603DF3D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1" w:type="dxa"/>
          </w:tcPr>
          <w:p w14:paraId="1D97F90F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2" w:type="dxa"/>
            <w:vAlign w:val="center"/>
          </w:tcPr>
          <w:p w14:paraId="6A3A7C61" w14:textId="77777777" w:rsidR="00C31228" w:rsidRDefault="00032E61">
            <w:pPr>
              <w:spacing w:line="130" w:lineRule="exact"/>
              <w:ind w:left="1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No Australian manufacturers with sufficient</w:t>
            </w:r>
          </w:p>
        </w:tc>
      </w:tr>
      <w:tr w:rsidR="00C31228" w14:paraId="1B39A88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644" w:type="dxa"/>
          </w:tcPr>
          <w:p w14:paraId="20540B1C" w14:textId="77777777" w:rsidR="00C31228" w:rsidRDefault="00032E61">
            <w:pPr>
              <w:spacing w:after="135" w:line="148" w:lineRule="exact"/>
              <w:ind w:left="48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Solar Panels</w:t>
            </w:r>
          </w:p>
        </w:tc>
        <w:tc>
          <w:tcPr>
            <w:tcW w:w="1973" w:type="dxa"/>
          </w:tcPr>
          <w:p w14:paraId="533AF295" w14:textId="77777777" w:rsidR="00C31228" w:rsidRDefault="00032E61">
            <w:pPr>
              <w:spacing w:after="135" w:line="148" w:lineRule="exact"/>
              <w:ind w:right="76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No</w:t>
            </w:r>
          </w:p>
        </w:tc>
        <w:tc>
          <w:tcPr>
            <w:tcW w:w="1671" w:type="dxa"/>
          </w:tcPr>
          <w:p w14:paraId="17792DED" w14:textId="77777777" w:rsidR="00C31228" w:rsidRDefault="00032E61">
            <w:pPr>
              <w:spacing w:after="135" w:line="14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Yes</w:t>
            </w:r>
          </w:p>
        </w:tc>
        <w:tc>
          <w:tcPr>
            <w:tcW w:w="4212" w:type="dxa"/>
            <w:vAlign w:val="center"/>
          </w:tcPr>
          <w:p w14:paraId="1EE390E0" w14:textId="77777777" w:rsidR="00C31228" w:rsidRDefault="00032E61">
            <w:pPr>
              <w:spacing w:before="86" w:after="15" w:line="182" w:lineRule="exact"/>
              <w:ind w:left="1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capacity</w:t>
            </w:r>
          </w:p>
        </w:tc>
      </w:tr>
      <w:tr w:rsidR="00C31228" w14:paraId="42359738" w14:textId="77777777">
        <w:tblPrEx>
          <w:tblCellMar>
            <w:top w:w="0" w:type="dxa"/>
            <w:bottom w:w="0" w:type="dxa"/>
          </w:tblCellMar>
        </w:tblPrEx>
        <w:trPr>
          <w:trHeight w:hRule="exact" w:val="159"/>
        </w:trPr>
        <w:tc>
          <w:tcPr>
            <w:tcW w:w="2644" w:type="dxa"/>
          </w:tcPr>
          <w:p w14:paraId="0E043EDC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3" w:type="dxa"/>
          </w:tcPr>
          <w:p w14:paraId="53EC2748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1" w:type="dxa"/>
          </w:tcPr>
          <w:p w14:paraId="25ABD930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2" w:type="dxa"/>
            <w:vAlign w:val="center"/>
          </w:tcPr>
          <w:p w14:paraId="4CB7CCB8" w14:textId="77777777" w:rsidR="00C31228" w:rsidRDefault="00032E61">
            <w:pPr>
              <w:spacing w:line="134" w:lineRule="exact"/>
              <w:ind w:left="1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No Australian manufacturers capable of</w:t>
            </w:r>
          </w:p>
        </w:tc>
      </w:tr>
      <w:tr w:rsidR="00C31228" w14:paraId="2CBCB6D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644" w:type="dxa"/>
          </w:tcPr>
          <w:p w14:paraId="1CF71A29" w14:textId="77777777" w:rsidR="00C31228" w:rsidRDefault="00032E61">
            <w:pPr>
              <w:spacing w:after="125" w:line="148" w:lineRule="exact"/>
              <w:ind w:left="48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Transformers</w:t>
            </w:r>
          </w:p>
        </w:tc>
        <w:tc>
          <w:tcPr>
            <w:tcW w:w="1973" w:type="dxa"/>
          </w:tcPr>
          <w:p w14:paraId="4EB35010" w14:textId="77777777" w:rsidR="00C31228" w:rsidRDefault="00032E61">
            <w:pPr>
              <w:spacing w:after="125" w:line="148" w:lineRule="exact"/>
              <w:ind w:right="76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No</w:t>
            </w:r>
          </w:p>
        </w:tc>
        <w:tc>
          <w:tcPr>
            <w:tcW w:w="1671" w:type="dxa"/>
          </w:tcPr>
          <w:p w14:paraId="5013665B" w14:textId="77777777" w:rsidR="00C31228" w:rsidRDefault="00032E61">
            <w:pPr>
              <w:spacing w:after="125" w:line="148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Yes</w:t>
            </w:r>
          </w:p>
        </w:tc>
        <w:tc>
          <w:tcPr>
            <w:tcW w:w="4212" w:type="dxa"/>
            <w:vAlign w:val="center"/>
          </w:tcPr>
          <w:p w14:paraId="134A8428" w14:textId="77777777" w:rsidR="00C31228" w:rsidRDefault="00032E61">
            <w:pPr>
              <w:spacing w:before="86" w:after="5" w:line="182" w:lineRule="exact"/>
              <w:ind w:left="1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delivering 500kV transformers</w:t>
            </w:r>
          </w:p>
        </w:tc>
      </w:tr>
      <w:tr w:rsidR="00C31228" w14:paraId="4B27EAC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644" w:type="dxa"/>
            <w:vAlign w:val="center"/>
          </w:tcPr>
          <w:p w14:paraId="5EC02F4C" w14:textId="77777777" w:rsidR="00C31228" w:rsidRDefault="00032E61">
            <w:pPr>
              <w:spacing w:before="125" w:after="120" w:line="182" w:lineRule="exact"/>
              <w:ind w:left="48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inverters</w:t>
            </w:r>
          </w:p>
        </w:tc>
        <w:tc>
          <w:tcPr>
            <w:tcW w:w="1973" w:type="dxa"/>
            <w:vAlign w:val="center"/>
          </w:tcPr>
          <w:p w14:paraId="0DE36FD9" w14:textId="77777777" w:rsidR="00C31228" w:rsidRDefault="00032E61">
            <w:pPr>
              <w:spacing w:before="125" w:after="120" w:line="182" w:lineRule="exact"/>
              <w:ind w:right="76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No</w:t>
            </w:r>
          </w:p>
        </w:tc>
        <w:tc>
          <w:tcPr>
            <w:tcW w:w="1671" w:type="dxa"/>
            <w:vAlign w:val="center"/>
          </w:tcPr>
          <w:p w14:paraId="69468742" w14:textId="77777777" w:rsidR="00C31228" w:rsidRDefault="00032E61">
            <w:pPr>
              <w:spacing w:before="125" w:after="120" w:line="182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Yes</w:t>
            </w:r>
          </w:p>
        </w:tc>
        <w:tc>
          <w:tcPr>
            <w:tcW w:w="4212" w:type="dxa"/>
          </w:tcPr>
          <w:p w14:paraId="51BFEE5B" w14:textId="77777777" w:rsidR="00C31228" w:rsidRDefault="00032E61">
            <w:pPr>
              <w:spacing w:line="21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No Australian manufacturers producing MV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inverters</w:t>
            </w:r>
          </w:p>
        </w:tc>
      </w:tr>
      <w:tr w:rsidR="00C31228" w14:paraId="3AE8820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44" w:type="dxa"/>
            <w:vAlign w:val="center"/>
          </w:tcPr>
          <w:p w14:paraId="5567C131" w14:textId="77777777" w:rsidR="00C31228" w:rsidRDefault="00032E61">
            <w:pPr>
              <w:spacing w:after="53" w:line="182" w:lineRule="exact"/>
              <w:ind w:left="48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Engineering, Procurement,</w:t>
            </w:r>
          </w:p>
        </w:tc>
        <w:tc>
          <w:tcPr>
            <w:tcW w:w="1973" w:type="dxa"/>
          </w:tcPr>
          <w:p w14:paraId="086B6546" w14:textId="77777777" w:rsidR="00C31228" w:rsidRDefault="00032E61">
            <w:pPr>
              <w:spacing w:before="129" w:line="134" w:lineRule="exact"/>
              <w:ind w:right="76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Yes</w:t>
            </w:r>
          </w:p>
        </w:tc>
        <w:tc>
          <w:tcPr>
            <w:tcW w:w="1671" w:type="dxa"/>
          </w:tcPr>
          <w:p w14:paraId="1B18D432" w14:textId="77777777" w:rsidR="00C31228" w:rsidRDefault="00032E61">
            <w:pPr>
              <w:spacing w:before="129" w:line="134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Yes</w:t>
            </w:r>
          </w:p>
        </w:tc>
        <w:tc>
          <w:tcPr>
            <w:tcW w:w="4212" w:type="dxa"/>
          </w:tcPr>
          <w:p w14:paraId="22914A9F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31228" w14:paraId="347F907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2644" w:type="dxa"/>
            <w:vAlign w:val="center"/>
          </w:tcPr>
          <w:p w14:paraId="04D19007" w14:textId="77777777" w:rsidR="00C31228" w:rsidRDefault="00032E61">
            <w:pPr>
              <w:spacing w:after="34" w:line="157" w:lineRule="exact"/>
              <w:ind w:left="48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Construction contract</w:t>
            </w:r>
          </w:p>
        </w:tc>
        <w:tc>
          <w:tcPr>
            <w:tcW w:w="1973" w:type="dxa"/>
          </w:tcPr>
          <w:p w14:paraId="768F2093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1" w:type="dxa"/>
          </w:tcPr>
          <w:p w14:paraId="6BE1A4E8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2" w:type="dxa"/>
          </w:tcPr>
          <w:p w14:paraId="4A803BB6" w14:textId="77777777" w:rsidR="00C31228" w:rsidRDefault="00032E6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1CD59C17" w14:textId="77777777" w:rsidR="00C31228" w:rsidRDefault="00C31228">
      <w:pPr>
        <w:spacing w:after="268" w:line="20" w:lineRule="exact"/>
      </w:pPr>
    </w:p>
    <w:p w14:paraId="49D1F20D" w14:textId="77777777" w:rsidR="00C31228" w:rsidRDefault="00032E61">
      <w:pPr>
        <w:spacing w:line="264" w:lineRule="exact"/>
        <w:ind w:left="504"/>
        <w:textAlignment w:val="baseline"/>
        <w:rPr>
          <w:rFonts w:ascii="Arial" w:eastAsia="Arial" w:hAnsi="Arial"/>
          <w:color w:val="000000"/>
          <w:sz w:val="10"/>
          <w:vertAlign w:val="superscript"/>
        </w:rPr>
      </w:pPr>
      <w:r>
        <w:rPr>
          <w:rFonts w:ascii="Arial" w:eastAsia="Arial" w:hAnsi="Arial"/>
          <w:color w:val="000000"/>
          <w:sz w:val="10"/>
          <w:vertAlign w:val="superscript"/>
        </w:rPr>
        <w:t>*</w:t>
      </w:r>
      <w:r>
        <w:rPr>
          <w:rFonts w:ascii="Arial" w:eastAsia="Arial" w:hAnsi="Arial"/>
          <w:color w:val="000000"/>
          <w:sz w:val="16"/>
        </w:rPr>
        <w:t xml:space="preserve">An Australian entity is an entity with an ABN or ACN </w:t>
      </w:r>
      <w:r>
        <w:rPr>
          <w:rFonts w:ascii="Arial" w:eastAsia="Arial" w:hAnsi="Arial"/>
          <w:color w:val="000000"/>
          <w:sz w:val="16"/>
        </w:rPr>
        <w:br/>
        <w:t>Project standards:</w:t>
      </w:r>
    </w:p>
    <w:p w14:paraId="163FB272" w14:textId="77777777" w:rsidR="00C31228" w:rsidRDefault="00032E61">
      <w:pPr>
        <w:spacing w:before="120" w:line="221" w:lineRule="exact"/>
        <w:ind w:left="1080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Australian </w:t>
      </w:r>
      <w:r>
        <w:rPr>
          <w:rFonts w:ascii="Arial" w:eastAsia="Arial" w:hAnsi="Arial"/>
          <w:color w:val="000000"/>
          <w:sz w:val="16"/>
        </w:rPr>
        <w:br/>
        <w:t>International</w:t>
      </w:r>
    </w:p>
    <w:p w14:paraId="24AD6B19" w14:textId="77777777" w:rsidR="00C31228" w:rsidRDefault="00C31228">
      <w:pPr>
        <w:sectPr w:rsidR="00C31228">
          <w:headerReference w:type="default" r:id="rId8"/>
          <w:footerReference w:type="default" r:id="rId9"/>
          <w:pgSz w:w="11904" w:h="16843"/>
          <w:pgMar w:top="2482" w:right="847" w:bottom="1135" w:left="557" w:header="977" w:footer="916" w:gutter="0"/>
          <w:cols w:space="720"/>
        </w:sectPr>
      </w:pPr>
    </w:p>
    <w:p w14:paraId="2BF273F4" w14:textId="77777777" w:rsidR="00C31228" w:rsidRDefault="00032E61">
      <w:pPr>
        <w:spacing w:line="391" w:lineRule="exact"/>
        <w:textAlignment w:val="baseline"/>
        <w:rPr>
          <w:rFonts w:ascii="Arial" w:eastAsia="Arial" w:hAnsi="Arial"/>
          <w:color w:val="000000"/>
          <w:spacing w:val="4"/>
          <w:w w:val="95"/>
          <w:sz w:val="34"/>
        </w:rPr>
      </w:pPr>
      <w:r>
        <w:rPr>
          <w:rFonts w:ascii="Arial" w:eastAsia="Arial" w:hAnsi="Arial"/>
          <w:color w:val="000000"/>
          <w:spacing w:val="4"/>
          <w:w w:val="95"/>
          <w:sz w:val="34"/>
        </w:rPr>
        <w:lastRenderedPageBreak/>
        <w:t>Supplier information and communication</w:t>
      </w:r>
    </w:p>
    <w:p w14:paraId="0F571144" w14:textId="77777777" w:rsidR="00C31228" w:rsidRDefault="00032E61">
      <w:pPr>
        <w:spacing w:before="353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Project proponent’s contact person for supplier enquiries:</w:t>
      </w:r>
    </w:p>
    <w:p w14:paraId="1A3E04F8" w14:textId="77777777" w:rsidR="00C31228" w:rsidRDefault="00032E61">
      <w:pPr>
        <w:spacing w:before="481" w:line="182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" w:eastAsia="Arial" w:hAnsi="Arial"/>
          <w:color w:val="000000"/>
          <w:sz w:val="16"/>
        </w:rPr>
        <w:t>Tim Lambert</w:t>
      </w:r>
    </w:p>
    <w:p w14:paraId="58515876" w14:textId="77777777" w:rsidR="00C31228" w:rsidRDefault="00032E61">
      <w:pPr>
        <w:spacing w:before="39" w:line="182" w:lineRule="exact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position </w:t>
      </w:r>
      <w:r>
        <w:rPr>
          <w:rFonts w:ascii="Arial" w:eastAsia="Arial" w:hAnsi="Arial"/>
          <w:color w:val="000000"/>
          <w:sz w:val="16"/>
        </w:rPr>
        <w:t>Site Manager</w:t>
      </w:r>
    </w:p>
    <w:p w14:paraId="43BB93D0" w14:textId="77777777" w:rsidR="00C31228" w:rsidRDefault="00032E61">
      <w:pPr>
        <w:spacing w:before="34" w:line="182" w:lineRule="exact"/>
        <w:ind w:left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" w:eastAsia="Arial" w:hAnsi="Arial"/>
          <w:color w:val="000000"/>
          <w:sz w:val="16"/>
        </w:rPr>
        <w:t>0414716699</w:t>
      </w:r>
    </w:p>
    <w:p w14:paraId="0E227073" w14:textId="77777777" w:rsidR="00C31228" w:rsidRDefault="00032E61">
      <w:pPr>
        <w:spacing w:before="38" w:line="182" w:lineRule="exact"/>
        <w:ind w:left="1368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E-mail </w:t>
      </w:r>
      <w:hyperlink r:id="rId10">
        <w:r>
          <w:rPr>
            <w:rFonts w:ascii="Arial" w:eastAsia="Arial" w:hAnsi="Arial"/>
            <w:color w:val="0000FF"/>
            <w:sz w:val="16"/>
            <w:u w:val="single"/>
          </w:rPr>
          <w:t>glenn.tilley@lightsourcebp.com</w:t>
        </w:r>
      </w:hyperlink>
      <w:r>
        <w:rPr>
          <w:rFonts w:ascii="Arial" w:eastAsia="Arial" w:hAnsi="Arial"/>
          <w:color w:val="000000"/>
          <w:sz w:val="16"/>
        </w:rPr>
        <w:t xml:space="preserve"> </w:t>
      </w:r>
    </w:p>
    <w:p w14:paraId="5A40B61B" w14:textId="77777777" w:rsidR="00C31228" w:rsidRDefault="00032E61">
      <w:pPr>
        <w:spacing w:before="49" w:line="331" w:lineRule="exact"/>
        <w:ind w:right="432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Project proponent website: </w:t>
      </w:r>
      <w:hyperlink r:id="rId11">
        <w:r>
          <w:rPr>
            <w:rFonts w:ascii="Arial" w:eastAsia="Arial" w:hAnsi="Arial"/>
            <w:color w:val="0000FF"/>
            <w:sz w:val="16"/>
            <w:u w:val="single"/>
          </w:rPr>
          <w:t>https://lightsourcebp.com/au/pro</w:t>
        </w:r>
        <w:r>
          <w:rPr>
            <w:rFonts w:ascii="Arial" w:eastAsia="Arial" w:hAnsi="Arial"/>
            <w:color w:val="0000FF"/>
            <w:sz w:val="16"/>
            <w:u w:val="single"/>
          </w:rPr>
          <w:t>ject/goulburn-river-solar/</w:t>
        </w:r>
      </w:hyperlink>
      <w:r>
        <w:rPr>
          <w:rFonts w:ascii="Arial" w:eastAsia="Arial" w:hAnsi="Arial"/>
          <w:color w:val="000000"/>
          <w:sz w:val="16"/>
        </w:rPr>
        <w:t xml:space="preserve"> Project opportunities website: </w:t>
      </w:r>
      <w:hyperlink r:id="rId12">
        <w:r>
          <w:rPr>
            <w:rFonts w:ascii="Arial" w:eastAsia="Arial" w:hAnsi="Arial"/>
            <w:color w:val="0000FF"/>
            <w:sz w:val="16"/>
            <w:u w:val="single"/>
          </w:rPr>
          <w:t>https://lightsourcebp.com/au/project/goulburn-river-solar/</w:t>
        </w:r>
      </w:hyperlink>
      <w:r>
        <w:rPr>
          <w:rFonts w:ascii="Arial" w:eastAsia="Arial" w:hAnsi="Arial"/>
          <w:color w:val="000000"/>
          <w:sz w:val="16"/>
        </w:rPr>
        <w:t xml:space="preserve"> Supplier engagement and communication actions :</w:t>
      </w:r>
    </w:p>
    <w:p w14:paraId="7F970AD6" w14:textId="77777777" w:rsidR="00C31228" w:rsidRDefault="00032E61">
      <w:pPr>
        <w:spacing w:before="140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Promote project opportunities through industry associations</w:t>
      </w:r>
    </w:p>
    <w:p w14:paraId="6087BC8F" w14:textId="77777777" w:rsidR="00C31228" w:rsidRDefault="00032E61">
      <w:pPr>
        <w:spacing w:before="34" w:line="182" w:lineRule="exact"/>
        <w:ind w:left="576"/>
        <w:textAlignment w:val="baseline"/>
        <w:rPr>
          <w:rFonts w:ascii="Arial" w:eastAsia="Arial" w:hAnsi="Arial"/>
          <w:color w:val="000000"/>
          <w:spacing w:val="-5"/>
          <w:sz w:val="16"/>
        </w:rPr>
      </w:pPr>
      <w:r>
        <w:rPr>
          <w:rFonts w:ascii="Arial" w:eastAsia="Arial" w:hAnsi="Arial"/>
          <w:color w:val="000000"/>
          <w:spacing w:val="-5"/>
          <w:sz w:val="16"/>
        </w:rPr>
        <w:t xml:space="preserve">Engage with vendor identification agencies on project </w:t>
      </w:r>
      <w:r>
        <w:rPr>
          <w:rFonts w:ascii="Arial" w:eastAsia="Arial" w:hAnsi="Arial"/>
          <w:color w:val="000000"/>
          <w:spacing w:val="-5"/>
          <w:sz w:val="16"/>
        </w:rPr>
        <w:t>opportunities and bid processes</w:t>
      </w:r>
    </w:p>
    <w:p w14:paraId="5259ADDD" w14:textId="77777777" w:rsidR="00C31228" w:rsidRDefault="00032E61">
      <w:pPr>
        <w:spacing w:before="38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Develop and distribute a supplier information guide for the project</w:t>
      </w:r>
    </w:p>
    <w:p w14:paraId="556FD10C" w14:textId="77777777" w:rsidR="00C31228" w:rsidRDefault="00032E61">
      <w:pPr>
        <w:spacing w:before="39" w:line="182" w:lineRule="exact"/>
        <w:ind w:left="576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Directly contact suppliers with information on project opportunities and bid processes</w:t>
      </w:r>
    </w:p>
    <w:p w14:paraId="3DB3AA6D" w14:textId="77777777" w:rsidR="00C31228" w:rsidRDefault="00032E61">
      <w:pPr>
        <w:spacing w:before="473" w:line="393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Building Australian industry capability</w:t>
      </w:r>
    </w:p>
    <w:p w14:paraId="309DF51C" w14:textId="77777777" w:rsidR="00C31228" w:rsidRDefault="00032E61">
      <w:pPr>
        <w:spacing w:before="354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36D10106" w14:textId="77777777" w:rsidR="00C31228" w:rsidRDefault="00032E61">
      <w:pPr>
        <w:spacing w:before="97" w:line="220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Recommend suppliers undertake training and/or accreditation </w:t>
      </w:r>
      <w:r>
        <w:rPr>
          <w:rFonts w:ascii="Arial" w:eastAsia="Arial" w:hAnsi="Arial"/>
          <w:color w:val="000000"/>
          <w:sz w:val="16"/>
        </w:rPr>
        <w:br/>
        <w:t>Encourage joint ventures and alliances between suppliers</w:t>
      </w:r>
    </w:p>
    <w:p w14:paraId="0B211275" w14:textId="77777777" w:rsidR="00C31228" w:rsidRDefault="00032E61">
      <w:pPr>
        <w:spacing w:before="198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0ECDCCBA" w14:textId="77777777" w:rsidR="00C31228" w:rsidRDefault="00032E61">
      <w:pPr>
        <w:spacing w:before="158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Introduce suppliers to global supply chain partners</w:t>
      </w:r>
    </w:p>
    <w:p w14:paraId="0833B438" w14:textId="77777777" w:rsidR="00C31228" w:rsidRDefault="00032E61">
      <w:pPr>
        <w:spacing w:before="198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Feedback process for unsuccessful bidders:</w:t>
      </w:r>
    </w:p>
    <w:p w14:paraId="4295881C" w14:textId="77777777" w:rsidR="00C31228" w:rsidRDefault="00032E61">
      <w:pPr>
        <w:spacing w:before="139" w:line="182" w:lineRule="exact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Head EPC will offer tender feedback as part of all major subcontracts issued under the scope</w:t>
      </w:r>
    </w:p>
    <w:p w14:paraId="7D9363BF" w14:textId="77777777" w:rsidR="00C31228" w:rsidRDefault="00C31228">
      <w:pPr>
        <w:sectPr w:rsidR="00C31228" w:rsidSect="00245EC8">
          <w:pgSz w:w="11904" w:h="16843"/>
          <w:pgMar w:top="2054" w:right="4249" w:bottom="1139" w:left="1046" w:header="977" w:footer="920" w:gutter="0"/>
          <w:cols w:space="720"/>
        </w:sectPr>
      </w:pPr>
    </w:p>
    <w:p w14:paraId="1A66A4D4" w14:textId="77777777" w:rsidR="00C31228" w:rsidRDefault="00032E61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1678F2B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52.1pt;margin-top:335.05pt;width:443.5pt;height:34pt;z-index:-251660288;mso-wrap-distance-left:0;mso-wrap-distance-right:0;mso-position-horizontal-relative:page;mso-position-vertical-relative:page" filled="f" stroked="f">
            <v:textbox inset="0,0,0,0">
              <w:txbxContent>
                <w:p w14:paraId="27A2827E" w14:textId="77777777" w:rsidR="00000000" w:rsidRDefault="00032E61"/>
              </w:txbxContent>
            </v:textbox>
            <w10:wrap type="square" anchorx="page" anchory="page"/>
          </v:shape>
        </w:pict>
      </w:r>
      <w:r>
        <w:pict w14:anchorId="3903CACB">
          <v:shape id="_x0000_s1034" type="#_x0000_t202" style="position:absolute;margin-left:43.9pt;margin-top:61.3pt;width:7in;height:86.6pt;z-index:-251659264;mso-wrap-distance-left:0;mso-wrap-distance-right:0;mso-position-horizontal-relative:page;mso-position-vertical-relative:page" filled="f" stroked="f">
            <v:textbox inset="0,0,0,0">
              <w:txbxContent>
                <w:p w14:paraId="3F1C9AF2" w14:textId="77777777" w:rsidR="00C31228" w:rsidRDefault="00032E61">
                  <w:pPr>
                    <w:spacing w:before="902" w:after="104" w:line="360" w:lineRule="exact"/>
                    <w:ind w:left="144" w:right="936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Australian Industry Participation Plan Summ</w:t>
                  </w: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ary - Operations Phase</w:t>
                  </w:r>
                </w:p>
              </w:txbxContent>
            </v:textbox>
            <w10:wrap type="square" anchorx="page" anchory="page"/>
          </v:shape>
        </w:pict>
      </w:r>
      <w:r>
        <w:pict w14:anchorId="61879AB2">
          <v:shape id="_x0000_s1033" type="#_x0000_t202" style="position:absolute;margin-left:43.9pt;margin-top:147.9pt;width:7in;height:187.15pt;z-index:251652096;mso-wrap-distance-left:0;mso-wrap-distance-right:0;mso-position-horizontal-relative:page;mso-position-vertical-relative:page" filled="f" stroked="f">
            <v:textbox inset="0,0,0,0">
              <w:txbxContent>
                <w:p w14:paraId="55232B8E" w14:textId="77777777" w:rsidR="00C31228" w:rsidRDefault="00032E61">
                  <w:pPr>
                    <w:spacing w:before="124" w:line="18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Nominated facility operator: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LIGHTSOURCE ASSET MANAGEMENT AUSTRALIA PTY LTD</w:t>
                  </w:r>
                </w:p>
                <w:p w14:paraId="414AC90B" w14:textId="77777777" w:rsidR="00C31228" w:rsidRDefault="00032E61">
                  <w:pPr>
                    <w:spacing w:before="348" w:line="39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Facility details</w:t>
                  </w:r>
                </w:p>
                <w:p w14:paraId="6D0F7865" w14:textId="77777777" w:rsidR="00C31228" w:rsidRDefault="00032E61">
                  <w:pPr>
                    <w:spacing w:before="205" w:line="331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Name: Goulburn River Solar Farm and BESS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Location: 2771 Wollara Rd, Merriwa NSW 2329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Type: Electricity facility</w:t>
                  </w:r>
                </w:p>
                <w:p w14:paraId="058AACE3" w14:textId="77777777" w:rsidR="00C31228" w:rsidRDefault="00032E61">
                  <w:pPr>
                    <w:spacing w:before="410" w:line="39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w w:val="95"/>
                      <w:sz w:val="34"/>
                    </w:rPr>
                    <w:t>Key goods and services</w:t>
                  </w:r>
                </w:p>
                <w:p w14:paraId="34172D0C" w14:textId="77777777" w:rsidR="00C31228" w:rsidRDefault="00032E61">
                  <w:pPr>
                    <w:spacing w:before="354" w:after="154" w:line="182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Indicative list of key goods and services to be acquired for the new facility:</w:t>
                  </w:r>
                </w:p>
              </w:txbxContent>
            </v:textbox>
            <w10:wrap anchorx="page" anchory="page"/>
          </v:shape>
        </w:pict>
      </w:r>
      <w:r>
        <w:pict w14:anchorId="2A468D69">
          <v:shape id="_x0000_s1032" type="#_x0000_t202" style="position:absolute;margin-left:52.3pt;margin-top:335.05pt;width:55.45pt;height:33.1pt;z-index:-251658240;mso-wrap-distance-left:0;mso-wrap-distance-right:0;mso-position-horizontal-relative:page;mso-position-vertical-relative:page" filled="f" stroked="f">
            <v:textbox inset="0,0,0,0">
              <w:txbxContent>
                <w:p w14:paraId="31E63428" w14:textId="77777777" w:rsidR="00C31228" w:rsidRDefault="00032E61">
                  <w:pPr>
                    <w:spacing w:before="100" w:after="115" w:line="22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>Key goods and services</w:t>
                  </w:r>
                </w:p>
              </w:txbxContent>
            </v:textbox>
            <w10:wrap type="square" anchorx="page" anchory="page"/>
          </v:shape>
        </w:pict>
      </w:r>
      <w:r>
        <w:pict w14:anchorId="6FABBA73">
          <v:shape id="_x0000_s1031" type="#_x0000_t202" style="position:absolute;margin-left:149.2pt;margin-top:335.05pt;width:71.1pt;height:16.1pt;z-index:-251657216;mso-wrap-distance-left:0;mso-wrap-distance-right:0;mso-position-horizontal-relative:page;mso-position-vertical-relative:page" filled="f" stroked="f">
            <v:textbox inset="0,0,0,0">
              <w:txbxContent>
                <w:p w14:paraId="2A012760" w14:textId="77777777" w:rsidR="00C31228" w:rsidRDefault="00032E61">
                  <w:pPr>
                    <w:spacing w:before="139" w:line="17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>Opportunities for</w:t>
                  </w:r>
                </w:p>
              </w:txbxContent>
            </v:textbox>
            <w10:wrap type="square" anchorx="page" anchory="page"/>
          </v:shape>
        </w:pict>
      </w:r>
      <w:r>
        <w:pict w14:anchorId="2A1CCEA8">
          <v:shape id="_x0000_s1030" type="#_x0000_t202" style="position:absolute;margin-left:149.2pt;margin-top:351.15pt;width:71.1pt;height:17pt;z-index:-251656192;mso-wrap-distance-left:0;mso-wrap-distance-right:0;mso-position-horizontal-relative:page;mso-position-vertical-relative:page" filled="f" stroked="f">
            <v:textbox inset="0,0,0,0">
              <w:txbxContent>
                <w:p w14:paraId="6C572CC5" w14:textId="77777777" w:rsidR="00C31228" w:rsidRDefault="00032E61">
                  <w:pPr>
                    <w:spacing w:before="33" w:after="119" w:line="183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w w:val="90"/>
                      <w:sz w:val="16"/>
                    </w:rPr>
                    <w:t xml:space="preserve">Australian entities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  <w:sz w:val="11"/>
                    </w:rPr>
                    <w:t>*</w:t>
                  </w:r>
                </w:p>
              </w:txbxContent>
            </v:textbox>
            <w10:wrap type="square" anchorx="page" anchory="page"/>
          </v:shape>
        </w:pict>
      </w:r>
      <w:r>
        <w:pict w14:anchorId="2E30C6B1">
          <v:shape id="_x0000_s1029" type="#_x0000_t202" style="position:absolute;margin-left:240.7pt;margin-top:335.05pt;width:65.05pt;height:33.1pt;z-index:-251655168;mso-wrap-distance-left:0;mso-wrap-distance-right:0;mso-position-horizontal-relative:page;mso-position-vertical-relative:page" filled="f" stroked="f">
            <v:textbox inset="0,0,0,0">
              <w:txbxContent>
                <w:p w14:paraId="09427493" w14:textId="77777777" w:rsidR="00C31228" w:rsidRDefault="00032E61">
                  <w:pPr>
                    <w:spacing w:line="21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Opportunities for </w:t>
                  </w: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br/>
                    <w:t xml:space="preserve">non-Australian </w:t>
                  </w: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br/>
                    <w:t>entities</w:t>
                  </w:r>
                </w:p>
              </w:txbxContent>
            </v:textbox>
            <w10:wrap type="square" anchorx="page" anchory="page"/>
          </v:shape>
        </w:pict>
      </w:r>
      <w:r>
        <w:pict w14:anchorId="20434EF7">
          <v:shape id="_x0000_s1028" type="#_x0000_t202" style="position:absolute;margin-left:321.35pt;margin-top:335.05pt;width:174.25pt;height:33.1pt;z-index:-251654144;mso-wrap-distance-left:0;mso-wrap-distance-right:0;mso-position-horizontal-relative:page;mso-position-vertical-relative:page" filled="f" stroked="f">
            <v:textbox inset="0,0,0,0">
              <w:txbxContent>
                <w:p w14:paraId="016F75F0" w14:textId="77777777" w:rsidR="00C31228" w:rsidRDefault="00032E61">
                  <w:pPr>
                    <w:spacing w:before="100" w:after="115" w:line="221" w:lineRule="exact"/>
                    <w:jc w:val="both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>Explanation for no opportunities for Australian entities</w:t>
                  </w:r>
                </w:p>
              </w:txbxContent>
            </v:textbox>
            <w10:wrap type="square" anchorx="page" anchory="page"/>
          </v:shape>
        </w:pict>
      </w:r>
      <w:r>
        <w:pict w14:anchorId="51392B54">
          <v:shape id="_x0000_s1027" type="#_x0000_t202" style="position:absolute;margin-left:52.1pt;margin-top:370.05pt;width:316pt;height:395.35pt;z-index:-251653120;mso-wrap-distance-left:0;mso-wrap-distance-right:0;mso-position-horizontal-relative:page;mso-position-vertical-relative:page" filled="f" stroked="f">
            <v:textbox inset="0,0,0,0">
              <w:txbxContent>
                <w:p w14:paraId="68F415F0" w14:textId="77777777" w:rsidR="00C31228" w:rsidRDefault="00032E61">
                  <w:pPr>
                    <w:tabs>
                      <w:tab w:val="left" w:pos="2520"/>
                      <w:tab w:val="left" w:pos="4320"/>
                    </w:tabs>
                    <w:spacing w:before="1" w:line="182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O&amp;M Contract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76FA9294" w14:textId="77777777" w:rsidR="00C31228" w:rsidRDefault="00032E61">
                  <w:pPr>
                    <w:tabs>
                      <w:tab w:val="left" w:pos="2520"/>
                      <w:tab w:val="left" w:pos="4320"/>
                    </w:tabs>
                    <w:spacing w:before="58" w:line="208" w:lineRule="exact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Power Marketting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Yes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ab/>
                    <w:t>No</w:t>
                  </w:r>
                </w:p>
                <w:p w14:paraId="05D63FFD" w14:textId="77777777" w:rsidR="00C31228" w:rsidRDefault="00032E61">
                  <w:pPr>
                    <w:spacing w:line="17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contract</w:t>
                  </w:r>
                </w:p>
                <w:p w14:paraId="07618915" w14:textId="77777777" w:rsidR="00C31228" w:rsidRDefault="00032E61">
                  <w:pPr>
                    <w:spacing w:before="198" w:line="343" w:lineRule="exact"/>
                    <w:textAlignment w:val="baseline"/>
                    <w:rPr>
                      <w:rFonts w:ascii="Arial" w:eastAsia="Arial" w:hAnsi="Arial"/>
                      <w:color w:val="000000"/>
                      <w:sz w:val="11"/>
                      <w:vertAlign w:val="superscript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1"/>
                      <w:vertAlign w:val="superscript"/>
                    </w:rPr>
                    <w:t>*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An Australian entity is an entity with an ABN or ACN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Facility standards:</w:t>
                  </w:r>
                </w:p>
                <w:p w14:paraId="43D498A3" w14:textId="77777777" w:rsidR="00C31228" w:rsidRDefault="00032E61">
                  <w:pPr>
                    <w:spacing w:before="95" w:line="221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Australian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International</w:t>
                  </w:r>
                </w:p>
                <w:p w14:paraId="4DF06CEC" w14:textId="77777777" w:rsidR="00C31228" w:rsidRDefault="00032E61">
                  <w:pPr>
                    <w:spacing w:before="473" w:line="393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4"/>
                      <w:w w:val="95"/>
                      <w:sz w:val="3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4"/>
                      <w:w w:val="95"/>
                      <w:sz w:val="34"/>
                    </w:rPr>
                    <w:t>Supplier information and communication</w:t>
                  </w:r>
                </w:p>
                <w:p w14:paraId="1B8F6D0F" w14:textId="77777777" w:rsidR="00C31228" w:rsidRDefault="00032E61">
                  <w:pPr>
                    <w:spacing w:before="354" w:line="18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Facility operator’s contact person for supplier enquiries:</w:t>
                  </w:r>
                </w:p>
                <w:p w14:paraId="68578B53" w14:textId="77777777" w:rsidR="00C31228" w:rsidRDefault="00032E61">
                  <w:pPr>
                    <w:spacing w:before="159" w:line="182" w:lineRule="exact"/>
                    <w:ind w:left="216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6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6"/>
                      <w:w w:val="90"/>
                      <w:sz w:val="16"/>
                    </w:rPr>
                    <w:t xml:space="preserve">Contact person name </w:t>
                  </w:r>
                  <w:r>
                    <w:rPr>
                      <w:rFonts w:ascii="Arial" w:eastAsia="Arial" w:hAnsi="Arial"/>
                      <w:color w:val="000000"/>
                      <w:spacing w:val="6"/>
                      <w:sz w:val="16"/>
                    </w:rPr>
                    <w:t>Glenn Tilley</w:t>
                  </w:r>
                </w:p>
                <w:p w14:paraId="0188D5CF" w14:textId="77777777" w:rsidR="00C31228" w:rsidRDefault="00032E61">
                  <w:pPr>
                    <w:spacing w:before="34" w:line="18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5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5"/>
                      <w:w w:val="90"/>
                      <w:sz w:val="16"/>
                    </w:rPr>
                    <w:t xml:space="preserve">Contact person position </w:t>
                  </w:r>
                  <w:r>
                    <w:rPr>
                      <w:rFonts w:ascii="Arial" w:eastAsia="Arial" w:hAnsi="Arial"/>
                      <w:color w:val="000000"/>
                      <w:spacing w:val="5"/>
                      <w:sz w:val="16"/>
                    </w:rPr>
                    <w:t>Site Manager</w:t>
                  </w:r>
                </w:p>
                <w:p w14:paraId="797F13D4" w14:textId="77777777" w:rsidR="00C31228" w:rsidRDefault="00032E61">
                  <w:pPr>
                    <w:spacing w:before="38" w:line="182" w:lineRule="exact"/>
                    <w:ind w:left="720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Phone number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0414716699</w:t>
                  </w:r>
                </w:p>
                <w:p w14:paraId="1B289D9C" w14:textId="77777777" w:rsidR="00C31228" w:rsidRDefault="00032E61">
                  <w:pPr>
                    <w:spacing w:before="39" w:line="182" w:lineRule="exact"/>
                    <w:ind w:left="1368"/>
                    <w:textAlignment w:val="baseline"/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w w:val="90"/>
                      <w:sz w:val="16"/>
                    </w:rPr>
                    <w:t xml:space="preserve">E-mail </w:t>
                  </w:r>
                  <w:hyperlink r:id="rId13">
                    <w:r>
                      <w:rPr>
                        <w:rFonts w:ascii="Arial" w:eastAsia="Arial" w:hAnsi="Arial"/>
                        <w:color w:val="0000FF"/>
                        <w:sz w:val="16"/>
                        <w:u w:val="single"/>
                      </w:rPr>
                      <w:t>glenn.tilley@lightsourcebp.com</w:t>
                    </w:r>
                  </w:hyperlink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  <w:p w14:paraId="003336C7" w14:textId="77777777" w:rsidR="00C31228" w:rsidRDefault="00032E61">
                  <w:pPr>
                    <w:spacing w:before="49" w:line="331" w:lineRule="exact"/>
                    <w:ind w:right="432"/>
                    <w:textAlignment w:val="baseline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Facility operator website: </w:t>
                  </w:r>
                  <w:hyperlink r:id="rId14">
                    <w:r>
                      <w:rPr>
                        <w:rFonts w:ascii="Arial" w:eastAsia="Arial" w:hAnsi="Arial"/>
                        <w:color w:val="0000FF"/>
                        <w:sz w:val="16"/>
                        <w:u w:val="single"/>
                      </w:rPr>
                      <w:t>https://lightsourcebp.com/au/pro</w:t>
                    </w:r>
                    <w:r>
                      <w:rPr>
                        <w:rFonts w:ascii="Arial" w:eastAsia="Arial" w:hAnsi="Arial"/>
                        <w:color w:val="0000FF"/>
                        <w:sz w:val="16"/>
                        <w:u w:val="single"/>
                      </w:rPr>
                      <w:t>ject/goulburn-river-solar/</w:t>
                    </w:r>
                  </w:hyperlink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Facility opportunities website: </w:t>
                  </w:r>
                  <w:hyperlink r:id="rId15">
                    <w:r>
                      <w:rPr>
                        <w:rFonts w:ascii="Arial" w:eastAsia="Arial" w:hAnsi="Arial"/>
                        <w:color w:val="0000FF"/>
                        <w:sz w:val="16"/>
                        <w:u w:val="single"/>
                      </w:rPr>
                      <w:t>https://lightsourcebp.com/au/project/goulburn-river-solar/</w:t>
                    </w:r>
                  </w:hyperlink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Supplier engagement and communication actions :</w:t>
                  </w:r>
                </w:p>
                <w:p w14:paraId="47C9203F" w14:textId="77777777" w:rsidR="00C31228" w:rsidRDefault="00032E61">
                  <w:pPr>
                    <w:spacing w:before="135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Promote project opportunities through industry associations</w:t>
                  </w:r>
                </w:p>
                <w:p w14:paraId="09E6F452" w14:textId="77777777" w:rsidR="00C31228" w:rsidRDefault="00032E61">
                  <w:pPr>
                    <w:spacing w:before="38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16"/>
                    </w:rPr>
                    <w:t>Engage with vendor identification agencies on project opportunities and bid processes</w:t>
                  </w:r>
                </w:p>
                <w:p w14:paraId="7C37B112" w14:textId="77777777" w:rsidR="00C31228" w:rsidRDefault="00032E61">
                  <w:pPr>
                    <w:spacing w:before="39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16"/>
                    </w:rPr>
                    <w:t>Develop and distribute a supplier information guide for the project</w:t>
                  </w:r>
                </w:p>
                <w:p w14:paraId="7F910415" w14:textId="77777777" w:rsidR="00C31228" w:rsidRDefault="00032E61">
                  <w:pPr>
                    <w:spacing w:before="39" w:after="1445" w:line="182" w:lineRule="exact"/>
                    <w:ind w:left="576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16"/>
                    </w:rPr>
                    <w:t>Directly contact suppliers with information on project opportunities and bid processes</w:t>
                  </w:r>
                </w:p>
              </w:txbxContent>
            </v:textbox>
            <w10:wrap type="square" anchorx="page" anchory="page"/>
          </v:shape>
        </w:pict>
      </w:r>
      <w:r>
        <w:pict w14:anchorId="194007F0">
          <v:line id="_x0000_s1026" style="position:absolute;z-index:251655168;mso-position-horizontal-relative:page;mso-position-vertical-relative:page" from="43.9pt,148.55pt" to="538.15pt,148.55pt" strokeweight="1.2pt">
            <w10:wrap anchorx="page" anchory="page"/>
          </v:line>
        </w:pict>
      </w:r>
    </w:p>
    <w:p w14:paraId="6ECE1807" w14:textId="77777777" w:rsidR="00C31228" w:rsidRDefault="00C31228">
      <w:pPr>
        <w:sectPr w:rsidR="00C31228">
          <w:pgSz w:w="11904" w:h="16843"/>
          <w:pgMar w:top="1076" w:right="1031" w:bottom="890" w:left="889" w:header="977" w:footer="671" w:gutter="0"/>
          <w:cols w:space="720"/>
        </w:sectPr>
      </w:pPr>
    </w:p>
    <w:p w14:paraId="737CBB87" w14:textId="77777777" w:rsidR="00C31228" w:rsidRDefault="00032E61">
      <w:pPr>
        <w:spacing w:line="391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lastRenderedPageBreak/>
        <w:t>Building Australian industry capability</w:t>
      </w:r>
    </w:p>
    <w:p w14:paraId="133314F8" w14:textId="77777777" w:rsidR="00C31228" w:rsidRDefault="00032E61">
      <w:pPr>
        <w:spacing w:before="353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29B8295D" w14:textId="77777777" w:rsidR="00C31228" w:rsidRDefault="00032E61">
      <w:pPr>
        <w:spacing w:before="101" w:line="221" w:lineRule="exact"/>
        <w:ind w:left="648" w:right="1512"/>
        <w:textAlignment w:val="baseline"/>
        <w:rPr>
          <w:rFonts w:ascii="Arial" w:eastAsia="Arial" w:hAnsi="Arial"/>
          <w:color w:val="000000"/>
          <w:spacing w:val="-5"/>
          <w:sz w:val="16"/>
        </w:rPr>
      </w:pPr>
      <w:r>
        <w:rPr>
          <w:rFonts w:ascii="Arial" w:eastAsia="Arial" w:hAnsi="Arial"/>
          <w:color w:val="000000"/>
          <w:spacing w:val="-5"/>
          <w:sz w:val="16"/>
        </w:rPr>
        <w:t>Recommend suppliers undertake training and/or accreditation Encourage joint ventures and alliances between suppliers</w:t>
      </w:r>
    </w:p>
    <w:p w14:paraId="1917A244" w14:textId="77777777" w:rsidR="00C31228" w:rsidRDefault="00032E61">
      <w:pPr>
        <w:spacing w:before="197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3AB8B723" w14:textId="77777777" w:rsidR="00C31228" w:rsidRDefault="00032E61">
      <w:pPr>
        <w:spacing w:before="159" w:line="182" w:lineRule="exact"/>
        <w:ind w:left="648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Introduce suppliers to global supply chain partners</w:t>
      </w:r>
    </w:p>
    <w:p w14:paraId="5B56888A" w14:textId="77777777" w:rsidR="00C31228" w:rsidRDefault="00032E61">
      <w:pPr>
        <w:spacing w:before="197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Feedback process for unsuccessful bidders:</w:t>
      </w:r>
    </w:p>
    <w:p w14:paraId="21C0F345" w14:textId="77777777" w:rsidR="00C31228" w:rsidRDefault="00032E61">
      <w:pPr>
        <w:spacing w:before="140" w:line="182" w:lineRule="exact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Head EPC will offer tender feedback as part of all major subcontracts issued under the scope</w:t>
      </w:r>
    </w:p>
    <w:sectPr w:rsidR="00C31228">
      <w:pgSz w:w="11904" w:h="16843"/>
      <w:pgMar w:top="2054" w:right="4585" w:bottom="1139" w:left="999" w:header="977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2083" w14:textId="77777777" w:rsidR="00000000" w:rsidRDefault="00032E61">
      <w:r>
        <w:separator/>
      </w:r>
    </w:p>
  </w:endnote>
  <w:endnote w:type="continuationSeparator" w:id="0">
    <w:p w14:paraId="6A5EA57B" w14:textId="77777777" w:rsidR="00000000" w:rsidRDefault="0003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2256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81EA17" w14:textId="0F1DB689" w:rsidR="00C31228" w:rsidRPr="00245EC8" w:rsidRDefault="00245EC8" w:rsidP="00245EC8">
            <w:pPr>
              <w:pStyle w:val="Footer"/>
              <w:tabs>
                <w:tab w:val="clear" w:pos="4513"/>
                <w:tab w:val="clear" w:pos="9026"/>
                <w:tab w:val="left" w:pos="6892"/>
              </w:tabs>
              <w:ind w:right="10" w:firstLine="5245"/>
              <w:jc w:val="right"/>
            </w:pPr>
            <w:r w:rsidRPr="00245EC8">
              <w:t xml:space="preserve">Page </w:t>
            </w:r>
            <w:r w:rsidRPr="00245EC8">
              <w:rPr>
                <w:sz w:val="24"/>
                <w:szCs w:val="24"/>
              </w:rPr>
              <w:fldChar w:fldCharType="begin"/>
            </w:r>
            <w:r w:rsidRPr="00245EC8">
              <w:instrText xml:space="preserve"> PAGE </w:instrText>
            </w:r>
            <w:r w:rsidRPr="00245EC8">
              <w:rPr>
                <w:sz w:val="24"/>
                <w:szCs w:val="24"/>
              </w:rPr>
              <w:fldChar w:fldCharType="separate"/>
            </w:r>
            <w:r w:rsidRPr="00245EC8">
              <w:rPr>
                <w:noProof/>
              </w:rPr>
              <w:t>2</w:t>
            </w:r>
            <w:r w:rsidRPr="00245EC8">
              <w:rPr>
                <w:sz w:val="24"/>
                <w:szCs w:val="24"/>
              </w:rPr>
              <w:fldChar w:fldCharType="end"/>
            </w:r>
            <w:r w:rsidRPr="00245EC8">
              <w:t xml:space="preserve"> of </w:t>
            </w:r>
            <w:fldSimple w:instr=" NUMPAGES  ">
              <w:r w:rsidRPr="00245EC8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5489" w14:textId="77777777" w:rsidR="00C31228" w:rsidRDefault="00C31228"/>
  </w:footnote>
  <w:footnote w:type="continuationSeparator" w:id="0">
    <w:p w14:paraId="05EA9C4F" w14:textId="77777777" w:rsidR="00C31228" w:rsidRDefault="0003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C90C" w14:textId="77777777" w:rsidR="00C31228" w:rsidRDefault="00032E61">
    <w:pPr>
      <w:tabs>
        <w:tab w:val="left" w:pos="1421"/>
      </w:tabs>
      <w:spacing w:line="183" w:lineRule="exact"/>
      <w:textAlignment w:val="baseline"/>
      <w:rPr>
        <w:rFonts w:eastAsia="Times New Roman"/>
        <w:color w:val="000000"/>
        <w:sz w:val="24"/>
      </w:rPr>
    </w:pPr>
    <w:r>
      <w:rPr>
        <w:rFonts w:eastAsia="Times New Roman"/>
        <w:color w:val="000000"/>
        <w:sz w:val="24"/>
      </w:rPr>
      <w:tab/>
    </w:r>
    <w:r>
      <w:rPr>
        <w:rFonts w:eastAsia="Times New Roman"/>
        <w:color w:val="000000"/>
        <w:spacing w:val="-1"/>
        <w:sz w:val="16"/>
      </w:rPr>
      <w:t>***** DRAFT not approved by AIP Authority (printed on Tue Nov 28 2023 10:34:49 GMT+ 1 100 (AEDT)) 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28"/>
    <w:rsid w:val="00032E61"/>
    <w:rsid w:val="00245EC8"/>
    <w:rsid w:val="00C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0F02F"/>
  <w15:docId w15:val="{20517A57-68BE-42A3-8942-0119D9F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E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EC8"/>
  </w:style>
  <w:style w:type="paragraph" w:styleId="Footer">
    <w:name w:val="footer"/>
    <w:basedOn w:val="Normal"/>
    <w:link w:val="FooterChar"/>
    <w:uiPriority w:val="99"/>
    <w:unhideWhenUsed/>
    <w:rsid w:val="00245E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lenn.tilley@lightsourceb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ghtsourcebp.com/au/project/goulburn-river-solar/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ghtsourcebp.com/au/project/goulburn-river-sola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ghtsourcebp.com/au/project/goulburn-river-solar/" TargetMode="External"/><Relationship Id="rId10" Type="http://schemas.openxmlformats.org/officeDocument/2006/relationships/hyperlink" Target="mailto:glenn.tilley@lightsourcebp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ightsourcebp.com/au/project/goulburn-river-sol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C97E-BE74-45DE-AEAE-C7785BF1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342</Words>
  <Characters>2402</Characters>
  <Application>Microsoft Office Word</Application>
  <DocSecurity>0</DocSecurity>
  <Lines>90</Lines>
  <Paragraphs>63</Paragraphs>
  <ScaleCrop>false</ScaleCrop>
  <Company>Department of Industry, Science, and Resources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cp:lastModifiedBy>Olde, Melanie</cp:lastModifiedBy>
  <cp:revision>3</cp:revision>
  <cp:lastPrinted>2023-11-27T23:49:00Z</cp:lastPrinted>
  <dcterms:created xsi:type="dcterms:W3CDTF">2023-11-27T23:38:00Z</dcterms:created>
  <dcterms:modified xsi:type="dcterms:W3CDTF">2023-11-27T23:49:00Z</dcterms:modified>
</cp:coreProperties>
</file>