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2196" w14:textId="17A6D53E" w:rsidR="00E45719" w:rsidRDefault="00E45719" w:rsidP="0078593E">
      <w:pPr>
        <w:pStyle w:val="Heading1"/>
      </w:pPr>
      <w:r w:rsidRPr="0078593E">
        <w:t>Australian</w:t>
      </w:r>
      <w:r>
        <w:t xml:space="preserve"> Industry Participation (AIP) </w:t>
      </w:r>
      <w:r w:rsidR="00187EC3">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57AD618C" w:rsidR="00E45719" w:rsidRPr="00187EC3"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r w:rsidR="002F0296" w:rsidRPr="00187EC3">
                <w:rPr>
                  <w:rStyle w:val="PlaceholderText"/>
                  <w:color w:val="auto"/>
                </w:rPr>
                <w:t>Mardie Minerals Pty Ltd</w:t>
              </w:r>
            </w:sdtContent>
          </w:sdt>
        </w:sdtContent>
      </w:sdt>
    </w:p>
    <w:p w14:paraId="0BCA9705" w14:textId="0B67A05B" w:rsidR="0033145F" w:rsidRPr="00187EC3" w:rsidRDefault="0033145F" w:rsidP="00E45719">
      <w:pPr>
        <w:rPr>
          <w:rStyle w:val="Strong"/>
        </w:rPr>
      </w:pPr>
      <w:r w:rsidRPr="00187EC3">
        <w:rPr>
          <w:rStyle w:val="Strong"/>
        </w:rPr>
        <w:t xml:space="preserve">Project name: </w:t>
      </w:r>
      <w:sdt>
        <w:sdtPr>
          <w:id w:val="-1320034803"/>
          <w:placeholder>
            <w:docPart w:val="73B477A58BD84E8C97F960AA439A5998"/>
          </w:placeholder>
        </w:sdtPr>
        <w:sdtEndPr/>
        <w:sdtContent>
          <w:r w:rsidR="002F0296" w:rsidRPr="00187EC3">
            <w:rPr>
              <w:rStyle w:val="PlaceholderText"/>
              <w:color w:val="auto"/>
            </w:rPr>
            <w:t>Mardie Salt and Potash Project</w:t>
          </w:r>
        </w:sdtContent>
      </w:sdt>
    </w:p>
    <w:p w14:paraId="761048E5" w14:textId="6F5F69AE" w:rsidR="00E45719" w:rsidRDefault="00E45719" w:rsidP="00E45719">
      <w:pPr>
        <w:rPr>
          <w:rStyle w:val="Strong"/>
        </w:rPr>
      </w:pPr>
      <w:r>
        <w:rPr>
          <w:rStyle w:val="Strong"/>
        </w:rPr>
        <w:t>Description of the project:</w:t>
      </w:r>
      <w:r w:rsidRPr="00E45719">
        <w:t xml:space="preserve"> </w:t>
      </w:r>
      <w:r w:rsidR="002F0296" w:rsidRPr="0022025A">
        <w:rPr>
          <w:rFonts w:ascii="Calibri" w:eastAsia="Calibri" w:hAnsi="Calibri"/>
          <w:color w:val="000000"/>
          <w:spacing w:val="-4"/>
          <w:szCs w:val="22"/>
        </w:rPr>
        <w:t>Mardie Minerals Pty Ltd (</w:t>
      </w:r>
      <w:r w:rsidR="002F0296" w:rsidRPr="0022025A">
        <w:rPr>
          <w:rFonts w:ascii="Calibri" w:eastAsia="Calibri" w:hAnsi="Calibri"/>
          <w:b/>
          <w:color w:val="000000"/>
          <w:spacing w:val="-4"/>
          <w:szCs w:val="22"/>
        </w:rPr>
        <w:t>Mardie</w:t>
      </w:r>
      <w:r w:rsidR="002F0296" w:rsidRPr="0022025A">
        <w:rPr>
          <w:rFonts w:ascii="Calibri" w:eastAsia="Calibri" w:hAnsi="Calibri"/>
          <w:color w:val="000000"/>
          <w:spacing w:val="-4"/>
          <w:szCs w:val="22"/>
        </w:rPr>
        <w:t>) is a wholly owned subsidiary of BCI Minerals Limited (</w:t>
      </w:r>
      <w:r w:rsidR="002F0296" w:rsidRPr="0022025A">
        <w:rPr>
          <w:rFonts w:ascii="Calibri" w:eastAsia="Calibri" w:hAnsi="Calibri"/>
          <w:b/>
          <w:color w:val="000000"/>
          <w:spacing w:val="-4"/>
          <w:szCs w:val="22"/>
        </w:rPr>
        <w:t>BCI</w:t>
      </w:r>
      <w:r w:rsidR="002F0296" w:rsidRPr="0022025A">
        <w:rPr>
          <w:rFonts w:ascii="Calibri" w:eastAsia="Calibri" w:hAnsi="Calibri"/>
          <w:color w:val="000000"/>
          <w:spacing w:val="-4"/>
          <w:szCs w:val="22"/>
        </w:rPr>
        <w:t>). The Mardie Salt &amp; Potash Project (</w:t>
      </w:r>
      <w:r w:rsidR="002F0296" w:rsidRPr="0022025A">
        <w:rPr>
          <w:rFonts w:ascii="Calibri" w:eastAsia="Calibri" w:hAnsi="Calibri"/>
          <w:b/>
          <w:color w:val="000000"/>
          <w:spacing w:val="-4"/>
          <w:szCs w:val="22"/>
        </w:rPr>
        <w:t>the Project</w:t>
      </w:r>
      <w:r w:rsidR="002F0296" w:rsidRPr="0022025A">
        <w:rPr>
          <w:rFonts w:ascii="Calibri" w:eastAsia="Calibri" w:hAnsi="Calibri"/>
          <w:color w:val="000000"/>
          <w:spacing w:val="-4"/>
          <w:szCs w:val="22"/>
        </w:rPr>
        <w:t xml:space="preserve">) is located </w:t>
      </w:r>
      <w:r w:rsidR="002F0296">
        <w:rPr>
          <w:rFonts w:ascii="Calibri" w:eastAsia="Calibri" w:hAnsi="Calibri"/>
          <w:color w:val="000000"/>
          <w:spacing w:val="-4"/>
          <w:szCs w:val="22"/>
        </w:rPr>
        <w:t>with</w:t>
      </w:r>
      <w:r w:rsidR="002F0296" w:rsidRPr="0022025A">
        <w:rPr>
          <w:rFonts w:ascii="Calibri" w:eastAsia="Calibri" w:hAnsi="Calibri"/>
          <w:color w:val="000000"/>
          <w:spacing w:val="-4"/>
          <w:szCs w:val="22"/>
        </w:rPr>
        <w:t xml:space="preserve">in Australia’s major salt producing region on the West Pilbara coast. The Project is </w:t>
      </w:r>
      <w:r w:rsidR="002F0296">
        <w:rPr>
          <w:rFonts w:ascii="Calibri" w:eastAsia="Calibri" w:hAnsi="Calibri"/>
          <w:color w:val="000000"/>
          <w:spacing w:val="-4"/>
          <w:szCs w:val="22"/>
        </w:rPr>
        <w:t xml:space="preserve">proposing to be </w:t>
      </w:r>
      <w:r w:rsidR="002F0296" w:rsidRPr="0022025A">
        <w:rPr>
          <w:rFonts w:ascii="Calibri" w:eastAsia="Calibri" w:hAnsi="Calibri"/>
          <w:color w:val="000000"/>
          <w:spacing w:val="-4"/>
          <w:szCs w:val="22"/>
        </w:rPr>
        <w:t>Australia’s first to produce salt and Sulphate of Potash (</w:t>
      </w:r>
      <w:r w:rsidR="002F0296" w:rsidRPr="0022025A">
        <w:rPr>
          <w:rFonts w:ascii="Calibri" w:eastAsia="Calibri" w:hAnsi="Calibri"/>
          <w:b/>
          <w:color w:val="000000"/>
          <w:spacing w:val="-4"/>
          <w:szCs w:val="22"/>
        </w:rPr>
        <w:t>SOP</w:t>
      </w:r>
      <w:r w:rsidR="002F0296" w:rsidRPr="0022025A">
        <w:rPr>
          <w:rFonts w:ascii="Calibri" w:eastAsia="Calibri" w:hAnsi="Calibri"/>
          <w:color w:val="000000"/>
          <w:spacing w:val="-4"/>
          <w:szCs w:val="22"/>
        </w:rPr>
        <w:t xml:space="preserve">) through the evaporation of seawater. </w:t>
      </w:r>
      <w:bookmarkStart w:id="0" w:name="_Hlk58413496"/>
      <w:r w:rsidR="002F0296" w:rsidRPr="0022025A">
        <w:rPr>
          <w:rFonts w:ascii="Calibri" w:eastAsia="Calibri" w:hAnsi="Calibri"/>
          <w:color w:val="000000"/>
          <w:spacing w:val="-4"/>
          <w:szCs w:val="22"/>
        </w:rPr>
        <w:t xml:space="preserve">The </w:t>
      </w:r>
      <w:r w:rsidR="002F0296" w:rsidRPr="0060067A">
        <w:rPr>
          <w:rFonts w:ascii="Calibri" w:eastAsia="Calibri" w:hAnsi="Calibri"/>
          <w:color w:val="000000"/>
          <w:spacing w:val="-4"/>
          <w:szCs w:val="22"/>
        </w:rPr>
        <w:t xml:space="preserve">evaporation production process is powered largely through natural solar and wind energy, meaning sustainable supply of salt and potash. </w:t>
      </w:r>
      <w:bookmarkEnd w:id="0"/>
      <w:r w:rsidR="002F0296" w:rsidRPr="0060067A">
        <w:rPr>
          <w:rFonts w:ascii="Calibri" w:eastAsia="Calibri" w:hAnsi="Calibri"/>
          <w:color w:val="000000"/>
          <w:szCs w:val="22"/>
        </w:rPr>
        <w:t>The Project will produce high purity salt that will be used mainly within the chemical manufacturing industry. SOP</w:t>
      </w:r>
      <w:r w:rsidR="002F0296" w:rsidRPr="0022025A">
        <w:rPr>
          <w:rFonts w:ascii="Calibri" w:eastAsia="Calibri" w:hAnsi="Calibri"/>
          <w:b/>
          <w:color w:val="000000"/>
          <w:szCs w:val="22"/>
        </w:rPr>
        <w:t xml:space="preserve"> </w:t>
      </w:r>
      <w:r w:rsidR="002F0296" w:rsidRPr="0022025A">
        <w:rPr>
          <w:rFonts w:ascii="Calibri" w:eastAsia="Calibri" w:hAnsi="Calibri"/>
          <w:color w:val="000000"/>
          <w:szCs w:val="22"/>
        </w:rPr>
        <w:t>will be used as a premium fertiliser to improve plant growth and drought resistance.</w:t>
      </w:r>
    </w:p>
    <w:p w14:paraId="69C96E3A" w14:textId="64A00E58" w:rsidR="00E45719" w:rsidRDefault="00E45719" w:rsidP="00E45719">
      <w:pPr>
        <w:rPr>
          <w:rStyle w:val="Strong"/>
        </w:rPr>
      </w:pPr>
      <w:r>
        <w:rPr>
          <w:rStyle w:val="Strong"/>
        </w:rPr>
        <w:t xml:space="preserve">Estimated project </w:t>
      </w:r>
      <w:r w:rsidRPr="00187EC3">
        <w:rPr>
          <w:rStyle w:val="Strong"/>
        </w:rPr>
        <w:t>value:</w:t>
      </w:r>
      <w:r w:rsidRPr="00187EC3">
        <w:t xml:space="preserve"> </w:t>
      </w:r>
      <w:sdt>
        <w:sdtPr>
          <w:id w:val="-1110893372"/>
          <w:placeholder>
            <w:docPart w:val="ABB3F9A48BD544F49923E8140EDB8E8B"/>
          </w:placeholder>
        </w:sdtPr>
        <w:sdtEndPr/>
        <w:sdtContent>
          <w:r w:rsidR="002F0296" w:rsidRPr="00187EC3">
            <w:rPr>
              <w:rStyle w:val="PlaceholderText"/>
              <w:color w:val="auto"/>
            </w:rPr>
            <w:t>AUD$7</w:t>
          </w:r>
          <w:r w:rsidR="00187EC3">
            <w:rPr>
              <w:rStyle w:val="PlaceholderText"/>
              <w:color w:val="auto"/>
            </w:rPr>
            <w:t>79</w:t>
          </w:r>
          <w:r w:rsidR="002F0296" w:rsidRPr="00187EC3">
            <w:rPr>
              <w:rStyle w:val="PlaceholderText"/>
              <w:color w:val="auto"/>
            </w:rPr>
            <w:t>M</w:t>
          </w:r>
        </w:sdtContent>
      </w:sdt>
    </w:p>
    <w:p w14:paraId="1426A877" w14:textId="7F638005" w:rsidR="002F0296" w:rsidRDefault="00E45719" w:rsidP="002F0296">
      <w:pPr>
        <w:rPr>
          <w:rStyle w:val="Strong"/>
        </w:rPr>
      </w:pPr>
      <w:r>
        <w:rPr>
          <w:rStyle w:val="Strong"/>
        </w:rPr>
        <w:t>Project location:</w:t>
      </w:r>
      <w:r w:rsidRPr="00E45719">
        <w:t xml:space="preserve"> </w:t>
      </w:r>
      <w:bookmarkStart w:id="1" w:name="_Hlk58413611"/>
      <w:r w:rsidR="002F0296" w:rsidRPr="002F0296">
        <w:t xml:space="preserve"> </w:t>
      </w:r>
      <w:sdt>
        <w:sdtPr>
          <w:id w:val="-621608627"/>
          <w:placeholder>
            <w:docPart w:val="211134549E4746DC9C9715D265B2BE7F"/>
          </w:placeholder>
        </w:sdtPr>
        <w:sdtEndPr/>
        <w:sdtContent>
          <w:r w:rsidR="002F0296">
            <w:rPr>
              <w:rFonts w:ascii="Calibri" w:eastAsia="Calibri" w:hAnsi="Calibri"/>
              <w:color w:val="000000"/>
            </w:rPr>
            <w:t xml:space="preserve">West Pilbara coast, approximately 100km south west of Karratha, </w:t>
          </w:r>
          <w:r w:rsidR="002F0296">
            <w:t>Western Australia.</w:t>
          </w:r>
        </w:sdtContent>
      </w:sdt>
      <w:bookmarkEnd w:id="1"/>
    </w:p>
    <w:p w14:paraId="00098C36" w14:textId="24432CE8" w:rsidR="00E45719" w:rsidRDefault="00E45719" w:rsidP="00E45719">
      <w:pPr>
        <w:rPr>
          <w:rStyle w:val="Strong"/>
        </w:rPr>
      </w:pPr>
      <w:r>
        <w:rPr>
          <w:rStyle w:val="Strong"/>
        </w:rPr>
        <w:t>Link to project information:</w:t>
      </w:r>
      <w:r w:rsidRPr="00E45719">
        <w:t xml:space="preserve"> </w:t>
      </w:r>
      <w:hyperlink r:id="rId12" w:history="1">
        <w:r w:rsidR="002F0296">
          <w:rPr>
            <w:rStyle w:val="Hyperlink"/>
            <w:lang w:eastAsia="en-US"/>
          </w:rPr>
          <w:t>https://www.bciminerals.com.au/our-assets/mardie-salt.html</w:t>
        </w:r>
      </w:hyperlink>
    </w:p>
    <w:p w14:paraId="0954A84C" w14:textId="1CE2F4CE"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bookmarkStart w:id="2" w:name="_Hlk58413709"/>
      <w:sdt>
        <w:sdtPr>
          <w:id w:val="-69889758"/>
          <w:placeholder>
            <w:docPart w:val="6EB81814C5504A5C8C903F81E5949477"/>
          </w:placeholder>
        </w:sdtPr>
        <w:sdtEndPr/>
        <w:sdtContent>
          <w:r w:rsidR="004614A5">
            <w:t>Stephen Naulls</w:t>
          </w:r>
          <w:r w:rsidR="000E5CC6">
            <w:t>, Procurement Officer</w:t>
          </w:r>
          <w:r w:rsidR="002F0296">
            <w:t>, Tel: 08 6311 34</w:t>
          </w:r>
          <w:r w:rsidR="000E5CC6">
            <w:t>77</w:t>
          </w:r>
          <w:r w:rsidR="002F0296">
            <w:t xml:space="preserve">, E-mail: </w:t>
          </w:r>
          <w:hyperlink r:id="rId13" w:history="1">
            <w:r w:rsidR="00407DE1" w:rsidRPr="00A34B4C">
              <w:rPr>
                <w:rStyle w:val="Hyperlink"/>
                <w:rFonts w:ascii="Calibri" w:eastAsia="Calibri" w:hAnsi="Calibri"/>
              </w:rPr>
              <w:t>stephen.naulls@bciminerals.com.au</w:t>
            </w:r>
          </w:hyperlink>
        </w:sdtContent>
      </w:sdt>
      <w:bookmarkEnd w:id="2"/>
      <w:r w:rsidR="002F0296">
        <w:t xml:space="preserve"> </w:t>
      </w:r>
    </w:p>
    <w:p w14:paraId="0FC91353" w14:textId="7D73C79D"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2F0296">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C64AED">
        <w:trPr>
          <w:tblHeader/>
        </w:trPr>
        <w:tc>
          <w:tcPr>
            <w:tcW w:w="5051" w:type="dxa"/>
          </w:tcPr>
          <w:p w14:paraId="36F822BF" w14:textId="3CD8F142" w:rsidR="008862FC" w:rsidRPr="00AF4C3E" w:rsidRDefault="006F549A" w:rsidP="00AF4C3E">
            <w:pPr>
              <w:rPr>
                <w:rStyle w:val="Strong"/>
              </w:rPr>
            </w:pPr>
            <w:r>
              <w:rPr>
                <w:rStyle w:val="Strong"/>
              </w:rPr>
              <w:t>Key goods and services for the project</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C64AED" w:rsidRPr="00144BE0" w14:paraId="55CD7444" w14:textId="77777777" w:rsidTr="00C64AED">
        <w:tc>
          <w:tcPr>
            <w:tcW w:w="5051" w:type="dxa"/>
          </w:tcPr>
          <w:p w14:paraId="7C6726CA" w14:textId="35C41776" w:rsidR="00C64AED" w:rsidRPr="00144BE0" w:rsidRDefault="00C64AED" w:rsidP="00C64AED">
            <w:r w:rsidRPr="005D6A1C">
              <w:t>Salt Wash Plant &amp; Stockyard (Secondary Seawater Supply and Conveyors)</w:t>
            </w:r>
          </w:p>
        </w:tc>
        <w:tc>
          <w:tcPr>
            <w:tcW w:w="1982" w:type="dxa"/>
          </w:tcPr>
          <w:p w14:paraId="1C480D98" w14:textId="3EC4E761" w:rsidR="00C64AED" w:rsidRPr="00144BE0" w:rsidRDefault="00C64AED" w:rsidP="00C64AED">
            <w:r w:rsidRPr="005D6A1C">
              <w:t>Yes</w:t>
            </w:r>
          </w:p>
        </w:tc>
        <w:tc>
          <w:tcPr>
            <w:tcW w:w="1983" w:type="dxa"/>
          </w:tcPr>
          <w:p w14:paraId="133E3D97" w14:textId="22ED4217" w:rsidR="00C64AED" w:rsidRPr="00144BE0" w:rsidRDefault="00C64AED" w:rsidP="00C64AED">
            <w:r w:rsidRPr="005D6A1C">
              <w:t xml:space="preserve">Yes </w:t>
            </w:r>
          </w:p>
        </w:tc>
      </w:tr>
      <w:tr w:rsidR="00C64AED" w:rsidRPr="00144BE0" w14:paraId="21BEA4E4" w14:textId="77777777" w:rsidTr="00C64AED">
        <w:tc>
          <w:tcPr>
            <w:tcW w:w="5051" w:type="dxa"/>
          </w:tcPr>
          <w:p w14:paraId="7C96D5CC" w14:textId="030D3BA2" w:rsidR="00C64AED" w:rsidRPr="00144BE0" w:rsidRDefault="00C64AED" w:rsidP="00C64AED">
            <w:pPr>
              <w:rPr>
                <w:rStyle w:val="PlaceholderText"/>
              </w:rPr>
            </w:pPr>
            <w:r w:rsidRPr="005D6A1C">
              <w:t>SOP Plant (including NPI Infrastructure and In-Plant Roads)</w:t>
            </w:r>
          </w:p>
        </w:tc>
        <w:tc>
          <w:tcPr>
            <w:tcW w:w="1982" w:type="dxa"/>
          </w:tcPr>
          <w:p w14:paraId="4194DBC9" w14:textId="2DB57013" w:rsidR="00C64AED" w:rsidRDefault="00C64AED" w:rsidP="00C64AED">
            <w:r w:rsidRPr="005D6A1C">
              <w:t>Yes</w:t>
            </w:r>
          </w:p>
        </w:tc>
        <w:tc>
          <w:tcPr>
            <w:tcW w:w="1983" w:type="dxa"/>
          </w:tcPr>
          <w:p w14:paraId="06C07E6C" w14:textId="2499418D" w:rsidR="00C64AED" w:rsidRDefault="00C64AED" w:rsidP="00C64AED">
            <w:r w:rsidRPr="005D6A1C">
              <w:t xml:space="preserve">Yes </w:t>
            </w:r>
          </w:p>
        </w:tc>
      </w:tr>
      <w:tr w:rsidR="00C64AED" w:rsidRPr="00144BE0" w14:paraId="0184BB43" w14:textId="77777777" w:rsidTr="00C64AED">
        <w:tc>
          <w:tcPr>
            <w:tcW w:w="5051" w:type="dxa"/>
          </w:tcPr>
          <w:p w14:paraId="12925D78" w14:textId="267494FE" w:rsidR="00C64AED" w:rsidRPr="00144BE0" w:rsidRDefault="00C64AED" w:rsidP="00C64AED">
            <w:pPr>
              <w:rPr>
                <w:rStyle w:val="PlaceholderText"/>
              </w:rPr>
            </w:pPr>
            <w:r w:rsidRPr="005D6A1C">
              <w:t>Overland Pipelines (Seawater Distribution, Brine Distribution, Process Water Distribution and Waste Brine Distribution)</w:t>
            </w:r>
          </w:p>
        </w:tc>
        <w:tc>
          <w:tcPr>
            <w:tcW w:w="1982" w:type="dxa"/>
          </w:tcPr>
          <w:p w14:paraId="14187945" w14:textId="618494C9" w:rsidR="00C64AED" w:rsidRDefault="00C64AED" w:rsidP="00C64AED">
            <w:r w:rsidRPr="005D6A1C">
              <w:t>Yes</w:t>
            </w:r>
          </w:p>
        </w:tc>
        <w:tc>
          <w:tcPr>
            <w:tcW w:w="1983" w:type="dxa"/>
          </w:tcPr>
          <w:p w14:paraId="09F11A25" w14:textId="364CCBEC" w:rsidR="00C64AED" w:rsidRDefault="00C64AED" w:rsidP="00C64AED">
            <w:r w:rsidRPr="005D6A1C">
              <w:t>No</w:t>
            </w:r>
          </w:p>
        </w:tc>
      </w:tr>
      <w:tr w:rsidR="00C64AED" w:rsidRPr="00144BE0" w14:paraId="71820465" w14:textId="77777777" w:rsidTr="00C64AED">
        <w:tc>
          <w:tcPr>
            <w:tcW w:w="5051" w:type="dxa"/>
          </w:tcPr>
          <w:p w14:paraId="702330AF" w14:textId="3B37DB9A" w:rsidR="00C64AED" w:rsidRPr="00144BE0" w:rsidRDefault="00C64AED" w:rsidP="00C64AED">
            <w:pPr>
              <w:rPr>
                <w:rStyle w:val="PlaceholderText"/>
              </w:rPr>
            </w:pPr>
            <w:r w:rsidRPr="005D6A1C">
              <w:t>HV Power Transmission Lines</w:t>
            </w:r>
          </w:p>
        </w:tc>
        <w:tc>
          <w:tcPr>
            <w:tcW w:w="1982" w:type="dxa"/>
          </w:tcPr>
          <w:p w14:paraId="110FACED" w14:textId="68F065A1" w:rsidR="00C64AED" w:rsidRDefault="00C64AED" w:rsidP="00C64AED">
            <w:r w:rsidRPr="005D6A1C">
              <w:t>Yes</w:t>
            </w:r>
          </w:p>
        </w:tc>
        <w:tc>
          <w:tcPr>
            <w:tcW w:w="1983" w:type="dxa"/>
          </w:tcPr>
          <w:p w14:paraId="2169C39C" w14:textId="6977C4A7" w:rsidR="00C64AED" w:rsidRDefault="00C64AED" w:rsidP="00C64AED">
            <w:r w:rsidRPr="005D6A1C">
              <w:t>No</w:t>
            </w:r>
          </w:p>
        </w:tc>
      </w:tr>
      <w:tr w:rsidR="00C64AED" w:rsidRPr="00144BE0" w14:paraId="70788167" w14:textId="77777777" w:rsidTr="00C64AED">
        <w:tc>
          <w:tcPr>
            <w:tcW w:w="5051" w:type="dxa"/>
          </w:tcPr>
          <w:p w14:paraId="40C37FF7" w14:textId="32C01B7A" w:rsidR="00C64AED" w:rsidRPr="00144BE0" w:rsidRDefault="00C64AED" w:rsidP="00C64AED">
            <w:pPr>
              <w:rPr>
                <w:rStyle w:val="PlaceholderText"/>
              </w:rPr>
            </w:pPr>
            <w:r w:rsidRPr="005D6A1C">
              <w:t>Pump Stations (Sheet Piling and Bulk Fuel Farm)</w:t>
            </w:r>
          </w:p>
        </w:tc>
        <w:tc>
          <w:tcPr>
            <w:tcW w:w="1982" w:type="dxa"/>
          </w:tcPr>
          <w:p w14:paraId="2710F2EF" w14:textId="0EEAE4E0" w:rsidR="00C64AED" w:rsidRDefault="00C64AED" w:rsidP="00C64AED">
            <w:r w:rsidRPr="005D6A1C">
              <w:t>Yes</w:t>
            </w:r>
          </w:p>
        </w:tc>
        <w:tc>
          <w:tcPr>
            <w:tcW w:w="1983" w:type="dxa"/>
          </w:tcPr>
          <w:p w14:paraId="50448A3F" w14:textId="645B18C6" w:rsidR="00C64AED" w:rsidRDefault="00C64AED" w:rsidP="00C64AED">
            <w:r w:rsidRPr="005D6A1C">
              <w:t>No</w:t>
            </w:r>
          </w:p>
        </w:tc>
      </w:tr>
      <w:tr w:rsidR="00C64AED" w:rsidRPr="00144BE0" w14:paraId="63C93F77" w14:textId="77777777" w:rsidTr="00C64AED">
        <w:tc>
          <w:tcPr>
            <w:tcW w:w="5051" w:type="dxa"/>
          </w:tcPr>
          <w:p w14:paraId="4C98EE2C" w14:textId="15D25500" w:rsidR="00C64AED" w:rsidRPr="00144BE0" w:rsidRDefault="00C64AED" w:rsidP="00C64AED">
            <w:pPr>
              <w:rPr>
                <w:rStyle w:val="PlaceholderText"/>
              </w:rPr>
            </w:pPr>
            <w:r w:rsidRPr="005D6A1C">
              <w:t>Port &amp; Jetty (Port Feed Conveyor, Jetty Construction and Seawall &amp; Laydown)</w:t>
            </w:r>
          </w:p>
        </w:tc>
        <w:tc>
          <w:tcPr>
            <w:tcW w:w="1982" w:type="dxa"/>
          </w:tcPr>
          <w:p w14:paraId="21F5F7C9" w14:textId="41139826" w:rsidR="00C64AED" w:rsidRDefault="00C64AED" w:rsidP="00C64AED">
            <w:r w:rsidRPr="005D6A1C">
              <w:t>Yes</w:t>
            </w:r>
          </w:p>
        </w:tc>
        <w:tc>
          <w:tcPr>
            <w:tcW w:w="1983" w:type="dxa"/>
          </w:tcPr>
          <w:p w14:paraId="742FAB3D" w14:textId="27C0B7A8" w:rsidR="00C64AED" w:rsidRDefault="00C64AED" w:rsidP="00C64AED">
            <w:r w:rsidRPr="005D6A1C">
              <w:t>No</w:t>
            </w:r>
          </w:p>
        </w:tc>
      </w:tr>
      <w:tr w:rsidR="00C64AED" w:rsidRPr="00144BE0" w14:paraId="77EE5763" w14:textId="77777777" w:rsidTr="00C64AED">
        <w:tc>
          <w:tcPr>
            <w:tcW w:w="5051" w:type="dxa"/>
          </w:tcPr>
          <w:p w14:paraId="0E7F49B8" w14:textId="2752774F" w:rsidR="00C64AED" w:rsidRPr="00144BE0" w:rsidRDefault="00C64AED" w:rsidP="00C64AED">
            <w:pPr>
              <w:rPr>
                <w:rStyle w:val="PlaceholderText"/>
              </w:rPr>
            </w:pPr>
            <w:r w:rsidRPr="005D6A1C">
              <w:lastRenderedPageBreak/>
              <w:t>Roads (Mardie Road and North-South Road)</w:t>
            </w:r>
          </w:p>
        </w:tc>
        <w:tc>
          <w:tcPr>
            <w:tcW w:w="1982" w:type="dxa"/>
          </w:tcPr>
          <w:p w14:paraId="443BBE35" w14:textId="21B7CBEC" w:rsidR="00C64AED" w:rsidRDefault="00C64AED" w:rsidP="00C64AED">
            <w:r w:rsidRPr="005D6A1C">
              <w:t>Yes</w:t>
            </w:r>
          </w:p>
        </w:tc>
        <w:tc>
          <w:tcPr>
            <w:tcW w:w="1983" w:type="dxa"/>
          </w:tcPr>
          <w:p w14:paraId="42FCD118" w14:textId="2316D562" w:rsidR="00C64AED" w:rsidRDefault="00C64AED" w:rsidP="00C64AED">
            <w:r w:rsidRPr="005D6A1C">
              <w:t>No</w:t>
            </w:r>
          </w:p>
        </w:tc>
      </w:tr>
      <w:tr w:rsidR="00C64AED" w:rsidRPr="00144BE0" w14:paraId="2F7B3151" w14:textId="77777777" w:rsidTr="00C64AED">
        <w:tc>
          <w:tcPr>
            <w:tcW w:w="5051" w:type="dxa"/>
          </w:tcPr>
          <w:p w14:paraId="2F8D921E" w14:textId="3E04D05E" w:rsidR="00C64AED" w:rsidRPr="00144BE0" w:rsidRDefault="00C64AED" w:rsidP="00C64AED">
            <w:pPr>
              <w:rPr>
                <w:rStyle w:val="PlaceholderText"/>
              </w:rPr>
            </w:pPr>
            <w:r w:rsidRPr="005D6A1C">
              <w:t>Steel Buildings (Administration Buildings, Laboratories, HV Workshop and Crib &amp; Ablutions)</w:t>
            </w:r>
          </w:p>
        </w:tc>
        <w:tc>
          <w:tcPr>
            <w:tcW w:w="1982" w:type="dxa"/>
          </w:tcPr>
          <w:p w14:paraId="652B43DD" w14:textId="59BA6FBA" w:rsidR="00C64AED" w:rsidRDefault="00C64AED" w:rsidP="00C64AED">
            <w:r w:rsidRPr="005D6A1C">
              <w:t>Yes</w:t>
            </w:r>
          </w:p>
        </w:tc>
        <w:tc>
          <w:tcPr>
            <w:tcW w:w="1983" w:type="dxa"/>
          </w:tcPr>
          <w:p w14:paraId="47D7739D" w14:textId="605D1AA5" w:rsidR="00C64AED" w:rsidRDefault="00C64AED" w:rsidP="00C64AED">
            <w:r w:rsidRPr="005D6A1C">
              <w:t>No</w:t>
            </w:r>
          </w:p>
        </w:tc>
      </w:tr>
      <w:tr w:rsidR="00C64AED" w:rsidRPr="00144BE0" w14:paraId="76EEB963" w14:textId="77777777" w:rsidTr="00C64AED">
        <w:tc>
          <w:tcPr>
            <w:tcW w:w="5051" w:type="dxa"/>
          </w:tcPr>
          <w:p w14:paraId="2014FD38" w14:textId="6ED4113E" w:rsidR="00C64AED" w:rsidRPr="00144BE0" w:rsidRDefault="00C64AED" w:rsidP="00C64AED">
            <w:pPr>
              <w:rPr>
                <w:rStyle w:val="PlaceholderText"/>
              </w:rPr>
            </w:pPr>
            <w:r w:rsidRPr="005D6A1C">
              <w:t>Communications and IT Infrastructure</w:t>
            </w:r>
          </w:p>
        </w:tc>
        <w:tc>
          <w:tcPr>
            <w:tcW w:w="1982" w:type="dxa"/>
          </w:tcPr>
          <w:p w14:paraId="60430D68" w14:textId="58A6678A" w:rsidR="00C64AED" w:rsidRDefault="00C64AED" w:rsidP="00C64AED">
            <w:r w:rsidRPr="005D6A1C">
              <w:t>Yes</w:t>
            </w:r>
          </w:p>
        </w:tc>
        <w:tc>
          <w:tcPr>
            <w:tcW w:w="1983" w:type="dxa"/>
          </w:tcPr>
          <w:p w14:paraId="0766343D" w14:textId="02DF0841" w:rsidR="00C64AED" w:rsidRDefault="00C64AED" w:rsidP="00C64AED">
            <w:r w:rsidRPr="005D6A1C">
              <w:t>No</w:t>
            </w:r>
          </w:p>
        </w:tc>
      </w:tr>
      <w:tr w:rsidR="00C64AED" w:rsidRPr="00144BE0" w14:paraId="68169B15" w14:textId="77777777" w:rsidTr="00C64AED">
        <w:tc>
          <w:tcPr>
            <w:tcW w:w="5051" w:type="dxa"/>
          </w:tcPr>
          <w:p w14:paraId="0DC0D6B5" w14:textId="414C6767" w:rsidR="00C64AED" w:rsidRPr="00144BE0" w:rsidRDefault="00C64AED" w:rsidP="00C64AED">
            <w:pPr>
              <w:rPr>
                <w:rStyle w:val="PlaceholderText"/>
              </w:rPr>
            </w:pPr>
            <w:r w:rsidRPr="005D6A1C">
              <w:t>Ponds and Crystallisers (bulk earthworks)</w:t>
            </w:r>
          </w:p>
        </w:tc>
        <w:tc>
          <w:tcPr>
            <w:tcW w:w="1982" w:type="dxa"/>
          </w:tcPr>
          <w:p w14:paraId="39F987B7" w14:textId="2B27A054" w:rsidR="00C64AED" w:rsidRDefault="00C64AED" w:rsidP="00C64AED">
            <w:r w:rsidRPr="005D6A1C">
              <w:t>Yes</w:t>
            </w:r>
          </w:p>
        </w:tc>
        <w:tc>
          <w:tcPr>
            <w:tcW w:w="1983" w:type="dxa"/>
          </w:tcPr>
          <w:p w14:paraId="34D84688" w14:textId="2A3E930E" w:rsidR="00C64AED" w:rsidRDefault="00C64AED" w:rsidP="00C64AED">
            <w:r w:rsidRPr="005D6A1C">
              <w:t>No</w:t>
            </w:r>
          </w:p>
        </w:tc>
      </w:tr>
      <w:tr w:rsidR="00C64AED" w:rsidRPr="00144BE0" w14:paraId="2DF3D61C" w14:textId="77777777" w:rsidTr="00C64AED">
        <w:tc>
          <w:tcPr>
            <w:tcW w:w="5051" w:type="dxa"/>
          </w:tcPr>
          <w:p w14:paraId="038DD365" w14:textId="3D9C4013" w:rsidR="00C64AED" w:rsidRPr="00144BE0" w:rsidRDefault="00C64AED" w:rsidP="00C64AED">
            <w:pPr>
              <w:rPr>
                <w:rStyle w:val="PlaceholderText"/>
              </w:rPr>
            </w:pPr>
            <w:r w:rsidRPr="005D6A1C">
              <w:t>Dredging</w:t>
            </w:r>
          </w:p>
        </w:tc>
        <w:tc>
          <w:tcPr>
            <w:tcW w:w="1982" w:type="dxa"/>
          </w:tcPr>
          <w:p w14:paraId="72F38302" w14:textId="2E52F763" w:rsidR="00C64AED" w:rsidRDefault="00C64AED" w:rsidP="00C64AED">
            <w:r w:rsidRPr="005D6A1C">
              <w:t>Yes</w:t>
            </w:r>
          </w:p>
        </w:tc>
        <w:tc>
          <w:tcPr>
            <w:tcW w:w="1983" w:type="dxa"/>
          </w:tcPr>
          <w:p w14:paraId="02F5E236" w14:textId="3FE96CAD" w:rsidR="00C64AED" w:rsidRDefault="00C64AED" w:rsidP="00C64AED">
            <w:r w:rsidRPr="005D6A1C">
              <w:t>No</w:t>
            </w:r>
          </w:p>
        </w:tc>
      </w:tr>
      <w:tr w:rsidR="00C64AED" w:rsidRPr="00144BE0" w14:paraId="75078407" w14:textId="77777777" w:rsidTr="00C64AED">
        <w:tc>
          <w:tcPr>
            <w:tcW w:w="5051" w:type="dxa"/>
          </w:tcPr>
          <w:p w14:paraId="4567B9ED" w14:textId="78FB0F45" w:rsidR="00C64AED" w:rsidRPr="00144BE0" w:rsidRDefault="00C64AED" w:rsidP="00C64AED">
            <w:pPr>
              <w:rPr>
                <w:rStyle w:val="PlaceholderText"/>
              </w:rPr>
            </w:pPr>
            <w:r w:rsidRPr="005D6A1C">
              <w:t>Port Access Road</w:t>
            </w:r>
          </w:p>
        </w:tc>
        <w:tc>
          <w:tcPr>
            <w:tcW w:w="1982" w:type="dxa"/>
          </w:tcPr>
          <w:p w14:paraId="3754952F" w14:textId="5285D5E2" w:rsidR="00C64AED" w:rsidRDefault="00C64AED" w:rsidP="00C64AED">
            <w:r w:rsidRPr="005D6A1C">
              <w:t>Yes</w:t>
            </w:r>
          </w:p>
        </w:tc>
        <w:tc>
          <w:tcPr>
            <w:tcW w:w="1983" w:type="dxa"/>
          </w:tcPr>
          <w:p w14:paraId="42EC0EFB" w14:textId="736B16D7" w:rsidR="00C64AED" w:rsidRDefault="00C64AED" w:rsidP="00C64AED">
            <w:r w:rsidRPr="005D6A1C">
              <w:t>No</w:t>
            </w:r>
          </w:p>
        </w:tc>
      </w:tr>
      <w:tr w:rsidR="00C64AED" w:rsidRPr="00144BE0" w14:paraId="17661A3D" w14:textId="77777777" w:rsidTr="00C64AED">
        <w:tc>
          <w:tcPr>
            <w:tcW w:w="5051" w:type="dxa"/>
          </w:tcPr>
          <w:p w14:paraId="2A23BA40" w14:textId="6E582AD7" w:rsidR="00C64AED" w:rsidRPr="00144BE0" w:rsidRDefault="00C64AED" w:rsidP="00C64AED">
            <w:pPr>
              <w:rPr>
                <w:rStyle w:val="PlaceholderText"/>
              </w:rPr>
            </w:pPr>
            <w:r w:rsidRPr="005D6A1C">
              <w:t>Desalination Plant</w:t>
            </w:r>
          </w:p>
        </w:tc>
        <w:tc>
          <w:tcPr>
            <w:tcW w:w="1982" w:type="dxa"/>
          </w:tcPr>
          <w:p w14:paraId="37ACEF02" w14:textId="47707A4F" w:rsidR="00C64AED" w:rsidRDefault="00C64AED" w:rsidP="00C64AED">
            <w:r w:rsidRPr="005D6A1C">
              <w:t>Yes</w:t>
            </w:r>
          </w:p>
        </w:tc>
        <w:tc>
          <w:tcPr>
            <w:tcW w:w="1983" w:type="dxa"/>
          </w:tcPr>
          <w:p w14:paraId="0059FDB1" w14:textId="4110FA72" w:rsidR="00C64AED" w:rsidRDefault="00C64AED" w:rsidP="00C64AED">
            <w:r w:rsidRPr="005D6A1C">
              <w:t>No</w:t>
            </w:r>
          </w:p>
        </w:tc>
      </w:tr>
      <w:tr w:rsidR="00C64AED" w:rsidRPr="00144BE0" w14:paraId="5BD242A6" w14:textId="77777777" w:rsidTr="00C64AED">
        <w:tc>
          <w:tcPr>
            <w:tcW w:w="5051" w:type="dxa"/>
          </w:tcPr>
          <w:p w14:paraId="5CB36499" w14:textId="4364C7C6" w:rsidR="00C64AED" w:rsidRPr="00144BE0" w:rsidRDefault="00C64AED" w:rsidP="00C64AED">
            <w:pPr>
              <w:rPr>
                <w:rStyle w:val="PlaceholderText"/>
              </w:rPr>
            </w:pPr>
            <w:r w:rsidRPr="005D6A1C">
              <w:t>Accommodation Village</w:t>
            </w:r>
          </w:p>
        </w:tc>
        <w:tc>
          <w:tcPr>
            <w:tcW w:w="1982" w:type="dxa"/>
          </w:tcPr>
          <w:p w14:paraId="69272D40" w14:textId="0C50C10A" w:rsidR="00C64AED" w:rsidRDefault="00C64AED" w:rsidP="00C64AED">
            <w:r w:rsidRPr="005D6A1C">
              <w:t>Yes</w:t>
            </w:r>
          </w:p>
        </w:tc>
        <w:tc>
          <w:tcPr>
            <w:tcW w:w="1983" w:type="dxa"/>
          </w:tcPr>
          <w:p w14:paraId="1EFFF121" w14:textId="110A4266" w:rsidR="00C64AED" w:rsidRDefault="00C64AED" w:rsidP="00C64AED">
            <w:r w:rsidRPr="005D6A1C">
              <w:t>No</w:t>
            </w:r>
          </w:p>
        </w:tc>
      </w:tr>
      <w:tr w:rsidR="00C64AED" w:rsidRPr="00144BE0" w14:paraId="5F80B14C" w14:textId="77777777" w:rsidTr="00C64AED">
        <w:tc>
          <w:tcPr>
            <w:tcW w:w="5051" w:type="dxa"/>
          </w:tcPr>
          <w:p w14:paraId="73531A8D" w14:textId="51A20B82" w:rsidR="00C64AED" w:rsidRPr="00144BE0" w:rsidRDefault="00C64AED" w:rsidP="00C64AED">
            <w:pPr>
              <w:rPr>
                <w:rStyle w:val="PlaceholderText"/>
              </w:rPr>
            </w:pPr>
            <w:r w:rsidRPr="005D6A1C">
              <w:t>Power Station</w:t>
            </w:r>
          </w:p>
        </w:tc>
        <w:tc>
          <w:tcPr>
            <w:tcW w:w="1982" w:type="dxa"/>
          </w:tcPr>
          <w:p w14:paraId="562E84F6" w14:textId="50A06CDE" w:rsidR="00C64AED" w:rsidRDefault="00C64AED" w:rsidP="00C64AED">
            <w:r w:rsidRPr="005D6A1C">
              <w:t>Yes</w:t>
            </w:r>
          </w:p>
        </w:tc>
        <w:tc>
          <w:tcPr>
            <w:tcW w:w="1983" w:type="dxa"/>
          </w:tcPr>
          <w:p w14:paraId="51AFC761" w14:textId="357D570B" w:rsidR="00C64AED" w:rsidRDefault="00C64AED" w:rsidP="00C64AED">
            <w:r w:rsidRPr="005D6A1C">
              <w:t xml:space="preserve">Yes </w:t>
            </w:r>
          </w:p>
        </w:tc>
      </w:tr>
      <w:tr w:rsidR="00C64AED" w:rsidRPr="00144BE0" w14:paraId="3ED8ACBE" w14:textId="77777777" w:rsidTr="00C64AED">
        <w:tc>
          <w:tcPr>
            <w:tcW w:w="5051" w:type="dxa"/>
          </w:tcPr>
          <w:p w14:paraId="27F0A5E5" w14:textId="24810508" w:rsidR="00C64AED" w:rsidRPr="00144BE0" w:rsidRDefault="00C64AED" w:rsidP="00C64AED">
            <w:pPr>
              <w:rPr>
                <w:rStyle w:val="PlaceholderText"/>
              </w:rPr>
            </w:pPr>
            <w:r w:rsidRPr="005D6A1C">
              <w:t>Gas Pipeline</w:t>
            </w:r>
          </w:p>
        </w:tc>
        <w:tc>
          <w:tcPr>
            <w:tcW w:w="1982" w:type="dxa"/>
          </w:tcPr>
          <w:p w14:paraId="56190A7F" w14:textId="04AADB0D" w:rsidR="00C64AED" w:rsidRDefault="00C64AED" w:rsidP="00C64AED">
            <w:r w:rsidRPr="005D6A1C">
              <w:t>Yes</w:t>
            </w:r>
          </w:p>
        </w:tc>
        <w:tc>
          <w:tcPr>
            <w:tcW w:w="1983" w:type="dxa"/>
          </w:tcPr>
          <w:p w14:paraId="19B48ED8" w14:textId="29A23EB7" w:rsidR="00C64AED" w:rsidRDefault="00C64AED" w:rsidP="00C64AED">
            <w:r w:rsidRPr="005D6A1C">
              <w:t>No</w:t>
            </w:r>
          </w:p>
        </w:tc>
      </w:tr>
      <w:tr w:rsidR="00C64AED" w:rsidRPr="00144BE0" w14:paraId="4ABB473A" w14:textId="77777777" w:rsidTr="00C64AED">
        <w:tc>
          <w:tcPr>
            <w:tcW w:w="5051" w:type="dxa"/>
          </w:tcPr>
          <w:p w14:paraId="6A3DA0E2" w14:textId="6B53432C" w:rsidR="00C64AED" w:rsidRPr="00144BE0" w:rsidRDefault="00C64AED" w:rsidP="00C64AED">
            <w:pPr>
              <w:rPr>
                <w:rStyle w:val="PlaceholderText"/>
              </w:rPr>
            </w:pPr>
            <w:r w:rsidRPr="005D6A1C">
              <w:t>Supply and operation of a single self-propelled Transhipment Vessel</w:t>
            </w:r>
          </w:p>
        </w:tc>
        <w:tc>
          <w:tcPr>
            <w:tcW w:w="1982" w:type="dxa"/>
          </w:tcPr>
          <w:p w14:paraId="5951E221" w14:textId="2C728108" w:rsidR="00C64AED" w:rsidRDefault="00C64AED" w:rsidP="00C64AED">
            <w:r w:rsidRPr="005D6A1C">
              <w:t>Yes</w:t>
            </w:r>
          </w:p>
        </w:tc>
        <w:tc>
          <w:tcPr>
            <w:tcW w:w="1983" w:type="dxa"/>
          </w:tcPr>
          <w:p w14:paraId="355CF8A3" w14:textId="3FCCE759" w:rsidR="00C64AED" w:rsidRDefault="00C64AED" w:rsidP="00C64AED">
            <w:r w:rsidRPr="005D6A1C">
              <w:t>Yes</w:t>
            </w:r>
          </w:p>
        </w:tc>
      </w:tr>
      <w:tr w:rsidR="00C64AED" w:rsidRPr="00144BE0" w14:paraId="552B7E02" w14:textId="77777777" w:rsidTr="00C64AED">
        <w:tc>
          <w:tcPr>
            <w:tcW w:w="5051" w:type="dxa"/>
          </w:tcPr>
          <w:p w14:paraId="038003CA" w14:textId="32D41A33" w:rsidR="00C64AED" w:rsidRPr="00144BE0" w:rsidRDefault="00C64AED" w:rsidP="00C64AED">
            <w:pPr>
              <w:rPr>
                <w:rStyle w:val="PlaceholderText"/>
              </w:rPr>
            </w:pPr>
            <w:r w:rsidRPr="005D6A1C">
              <w:t>Large Scale Trial Pond – Civil Earthworks</w:t>
            </w:r>
          </w:p>
        </w:tc>
        <w:tc>
          <w:tcPr>
            <w:tcW w:w="1982" w:type="dxa"/>
          </w:tcPr>
          <w:p w14:paraId="611E20B7" w14:textId="0DFDDA57" w:rsidR="00C64AED" w:rsidRDefault="00C64AED" w:rsidP="00C64AED">
            <w:r w:rsidRPr="005D6A1C">
              <w:t>Yes</w:t>
            </w:r>
          </w:p>
        </w:tc>
        <w:tc>
          <w:tcPr>
            <w:tcW w:w="1983" w:type="dxa"/>
          </w:tcPr>
          <w:p w14:paraId="5BD9FF7E" w14:textId="5EADFDD7" w:rsidR="00C64AED" w:rsidRDefault="00C64AED" w:rsidP="00C64AED">
            <w:r w:rsidRPr="005D6A1C">
              <w:t>No</w:t>
            </w:r>
          </w:p>
        </w:tc>
      </w:tr>
      <w:tr w:rsidR="00C64AED" w:rsidRPr="00144BE0" w14:paraId="7F755916" w14:textId="77777777" w:rsidTr="00C64AED">
        <w:tc>
          <w:tcPr>
            <w:tcW w:w="5051" w:type="dxa"/>
          </w:tcPr>
          <w:p w14:paraId="4F2E42F2" w14:textId="53F010D3" w:rsidR="00C64AED" w:rsidRPr="00144BE0" w:rsidRDefault="00C64AED" w:rsidP="00C64AED">
            <w:pPr>
              <w:rPr>
                <w:rStyle w:val="PlaceholderText"/>
              </w:rPr>
            </w:pPr>
            <w:r w:rsidRPr="005D6A1C">
              <w:t>Large Scale Trial Pond – Pump Supply</w:t>
            </w:r>
          </w:p>
        </w:tc>
        <w:tc>
          <w:tcPr>
            <w:tcW w:w="1982" w:type="dxa"/>
          </w:tcPr>
          <w:p w14:paraId="3CCB265D" w14:textId="3BC241D3" w:rsidR="00C64AED" w:rsidRDefault="00C64AED" w:rsidP="00C64AED">
            <w:r w:rsidRPr="005D6A1C">
              <w:t>Yes</w:t>
            </w:r>
          </w:p>
        </w:tc>
        <w:tc>
          <w:tcPr>
            <w:tcW w:w="1983" w:type="dxa"/>
          </w:tcPr>
          <w:p w14:paraId="588B9F91" w14:textId="266406F5" w:rsidR="00C64AED" w:rsidRDefault="00C64AED" w:rsidP="00C64AED">
            <w:r w:rsidRPr="005D6A1C">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36B47">
        <w:trPr>
          <w:tblHeader/>
        </w:trPr>
        <w:tc>
          <w:tcPr>
            <w:tcW w:w="9242" w:type="dxa"/>
          </w:tcPr>
          <w:p w14:paraId="3178FC64" w14:textId="2BC22432" w:rsidR="00FD7639" w:rsidRPr="00F07286" w:rsidRDefault="00C64AED" w:rsidP="00702597">
            <w:r>
              <w:t>All key goods and services have opportunities for Australian entities.</w:t>
            </w:r>
          </w:p>
        </w:tc>
      </w:tr>
    </w:tbl>
    <w:p w14:paraId="75D6A8D7" w14:textId="77777777" w:rsidR="000E4E23" w:rsidRDefault="000E4E23" w:rsidP="000E4E23">
      <w:pPr>
        <w:pStyle w:val="Heading2"/>
      </w:pPr>
      <w:r>
        <w:t>3</w:t>
      </w:r>
      <w:r w:rsidR="00304970">
        <w:t>.</w:t>
      </w:r>
      <w:r>
        <w:t xml:space="preserve"> Standards to be used in the project</w:t>
      </w:r>
    </w:p>
    <w:p w14:paraId="6E173FB5" w14:textId="56A9545B" w:rsidR="00C64AED" w:rsidRDefault="00C64AED" w:rsidP="00C64AED">
      <w:pPr>
        <w:pStyle w:val="ListParagraph"/>
        <w:numPr>
          <w:ilvl w:val="0"/>
          <w:numId w:val="2"/>
        </w:numPr>
        <w:spacing w:before="0" w:after="160" w:line="259" w:lineRule="auto"/>
      </w:pPr>
      <w:bookmarkStart w:id="3" w:name="_Hlk58413749"/>
      <w:r>
        <w:t>The standards that will be utilised in the Mardie Salt and Potash Project will be Australian and/or recognised equivalent standards.</w:t>
      </w:r>
    </w:p>
    <w:bookmarkEnd w:id="3"/>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428E2053" w14:textId="1DD5610C" w:rsidR="00C64AED"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rPr>
          </w:pPr>
          <w:r>
            <w:rPr>
              <w:b/>
            </w:rPr>
            <w:t xml:space="preserve">Provide a Regional Presence </w:t>
          </w:r>
          <w:r w:rsidRPr="00232746">
            <w:rPr>
              <w:rFonts w:eastAsia="Calibri"/>
              <w:color w:val="000000"/>
              <w:spacing w:val="-1"/>
            </w:rPr>
            <w:t xml:space="preserve">– BCI </w:t>
          </w:r>
          <w:r w:rsidR="00187EC3">
            <w:rPr>
              <w:rFonts w:eastAsia="Calibri"/>
              <w:color w:val="000000"/>
              <w:spacing w:val="-1"/>
            </w:rPr>
            <w:t>has</w:t>
          </w:r>
          <w:r w:rsidRPr="00232746">
            <w:rPr>
              <w:rFonts w:eastAsia="Calibri"/>
              <w:color w:val="000000"/>
              <w:spacing w:val="-1"/>
            </w:rPr>
            <w:t xml:space="preserve"> engag</w:t>
          </w:r>
          <w:r w:rsidR="00187EC3">
            <w:rPr>
              <w:rFonts w:eastAsia="Calibri"/>
              <w:color w:val="000000"/>
              <w:spacing w:val="-1"/>
            </w:rPr>
            <w:t>ed a</w:t>
          </w:r>
          <w:r w:rsidRPr="00232746">
            <w:rPr>
              <w:rFonts w:eastAsia="Calibri"/>
              <w:color w:val="000000"/>
              <w:spacing w:val="-1"/>
            </w:rPr>
            <w:t xml:space="preserve"> local Pilbara based contractor to design and construct a regional office in Karratha. The local presence will create opportunities for the community to engage frequently with BCI enabling a better understanding of project progress and opportunities. It will also create a better awareness of local Pilbara capability including traditional owner, indigenous and Pilbara based businesses.</w:t>
          </w:r>
        </w:p>
        <w:p w14:paraId="617AF53B" w14:textId="77777777" w:rsidR="00C64AED" w:rsidRPr="00EB3D4B"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szCs w:val="22"/>
            </w:rPr>
          </w:pPr>
          <w:r>
            <w:rPr>
              <w:b/>
            </w:rPr>
            <w:t xml:space="preserve">Provide a Local Engagement Contact / Resource(s) </w:t>
          </w:r>
          <w:r>
            <w:rPr>
              <w:bCs/>
            </w:rPr>
            <w:t>-</w:t>
          </w:r>
          <w:r>
            <w:rPr>
              <w:b/>
            </w:rPr>
            <w:t xml:space="preserve"> </w:t>
          </w:r>
          <w:r w:rsidRPr="00232746">
            <w:rPr>
              <w:rFonts w:eastAsia="Calibri"/>
              <w:color w:val="000000"/>
              <w:spacing w:val="-3"/>
            </w:rPr>
            <w:t xml:space="preserve">BCI and its prime and sub-contractors will be contractually required to appoint a local engagement resource(s) to understand the capability </w:t>
          </w:r>
          <w:r w:rsidRPr="00232746">
            <w:rPr>
              <w:rFonts w:eastAsia="Calibri"/>
              <w:color w:val="000000"/>
              <w:spacing w:val="-3"/>
            </w:rPr>
            <w:lastRenderedPageBreak/>
            <w:t xml:space="preserve">of Pilbara based, WA and Australian industry capability, facilitate local industry engagement and where required supplier development to assist the </w:t>
          </w:r>
          <w:r w:rsidRPr="00EB3D4B">
            <w:rPr>
              <w:rFonts w:eastAsia="Calibri"/>
              <w:color w:val="000000"/>
              <w:spacing w:val="-3"/>
              <w:szCs w:val="22"/>
            </w:rPr>
            <w:t>contracting and suppliers.</w:t>
          </w:r>
        </w:p>
        <w:p w14:paraId="451EB38C" w14:textId="77777777" w:rsidR="00C64AED" w:rsidRPr="00EB3D4B"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szCs w:val="22"/>
            </w:rPr>
          </w:pPr>
          <w:r w:rsidRPr="00EB3D4B">
            <w:rPr>
              <w:b/>
              <w:szCs w:val="22"/>
            </w:rPr>
            <w:t>Complete Pilbara Contractor Capability Mapping</w:t>
          </w:r>
          <w:r w:rsidRPr="00EB3D4B">
            <w:rPr>
              <w:szCs w:val="22"/>
            </w:rPr>
            <w:t xml:space="preserve"> </w:t>
          </w:r>
          <w:r w:rsidRPr="00EB3D4B">
            <w:rPr>
              <w:rFonts w:eastAsia="Calibri"/>
              <w:bCs/>
              <w:color w:val="000000"/>
              <w:spacing w:val="-1"/>
              <w:szCs w:val="22"/>
            </w:rPr>
            <w:t>– BCI’s local engagement resource(s) will undertake capability mapping of the Pilbara based contractors this will assist the prime and sub-contractors to have greater understanding of the Pilbara based business capability during the Request for Quotation (RFQ) and/or Invitation to Tender (ITT) processes.</w:t>
          </w:r>
        </w:p>
        <w:p w14:paraId="45DAD6E7" w14:textId="77777777" w:rsidR="00C64AED" w:rsidRPr="00E71785"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rPr>
          </w:pPr>
          <w:r>
            <w:rPr>
              <w:b/>
            </w:rPr>
            <w:t>Enable Local Industry Expressions of Interest Evaluation</w:t>
          </w:r>
          <w:r>
            <w:t xml:space="preserve"> </w:t>
          </w:r>
          <w:r w:rsidRPr="00EB3D4B">
            <w:rPr>
              <w:rFonts w:eastAsia="Calibri"/>
              <w:bCs/>
              <w:color w:val="000000"/>
              <w:spacing w:val="-1"/>
              <w:szCs w:val="22"/>
            </w:rPr>
            <w:t>– Mardie will ensure expressions of interest for the Project can be submitted and evaluated for the Project via BCI’s website and/or Mardie’s chosen procurement portal. This will also enable automatic notifications to those EOI registrations whenever a Mardie package is listed for the Project.</w:t>
          </w:r>
        </w:p>
        <w:p w14:paraId="77733BF9" w14:textId="77777777" w:rsidR="00C64AED" w:rsidRPr="009918D6"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sidRPr="00A735D7">
            <w:rPr>
              <w:b/>
              <w:szCs w:val="22"/>
            </w:rPr>
            <w:t>Implement a Priority Hierarchy</w:t>
          </w:r>
          <w:r w:rsidRPr="00A735D7">
            <w:rPr>
              <w:szCs w:val="22"/>
            </w:rPr>
            <w:t xml:space="preserve"> </w:t>
          </w:r>
          <w:r w:rsidRPr="00A735D7">
            <w:rPr>
              <w:rFonts w:eastAsia="Calibri"/>
              <w:bCs/>
              <w:color w:val="000000"/>
              <w:spacing w:val="-1"/>
              <w:szCs w:val="22"/>
            </w:rPr>
            <w:t>- For like for like tender submissions, Mardie will prioritise according to the following hierarchy:</w:t>
          </w:r>
        </w:p>
        <w:p w14:paraId="2B4D3053"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Traditional owners</w:t>
          </w:r>
        </w:p>
        <w:p w14:paraId="4B43B14D"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Pilbara indigenous</w:t>
          </w:r>
        </w:p>
        <w:p w14:paraId="7EF5A5F2"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Pilbara</w:t>
          </w:r>
        </w:p>
        <w:p w14:paraId="30EC1FFD"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WA indigenous</w:t>
          </w:r>
        </w:p>
        <w:p w14:paraId="6D93F61D"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WA</w:t>
          </w:r>
        </w:p>
        <w:p w14:paraId="6055A221"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Australia indigenous</w:t>
          </w:r>
        </w:p>
        <w:p w14:paraId="5039C5E5" w14:textId="77777777" w:rsid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Australia</w:t>
          </w:r>
        </w:p>
        <w:p w14:paraId="4116A8E3" w14:textId="19BCF22D" w:rsidR="00E45719" w:rsidRPr="00C64AED" w:rsidRDefault="00C64AED" w:rsidP="00C64AED">
          <w:pPr>
            <w:pStyle w:val="ListParagraph"/>
            <w:numPr>
              <w:ilvl w:val="1"/>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Pr>
              <w:szCs w:val="22"/>
            </w:rPr>
            <w:t>International</w:t>
          </w:r>
        </w:p>
      </w:sdtContent>
    </w:sdt>
    <w:p w14:paraId="268A13E3" w14:textId="77777777" w:rsidR="00C64AED" w:rsidRPr="00A735D7"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szCs w:val="22"/>
        </w:rPr>
      </w:pPr>
      <w:r>
        <w:rPr>
          <w:b/>
        </w:rPr>
        <w:t xml:space="preserve">Advertise Procurement and Contracting Opportunities </w:t>
      </w:r>
      <w:r>
        <w:rPr>
          <w:rFonts w:eastAsia="Calibri"/>
          <w:color w:val="000000"/>
        </w:rPr>
        <w:t>– Mardie and its prime and sub</w:t>
      </w:r>
      <w:r>
        <w:rPr>
          <w:rFonts w:eastAsia="Calibri"/>
          <w:color w:val="000000"/>
        </w:rPr>
        <w:softHyphen/>
        <w:t xml:space="preserve">contractors, where practicable, will advertise contracting and procurement opportunities above the value of AUD$50,000 on either the BCI webpage and/or chosen procurement portal. This commitment will enable greater participation in contracting opportunities for the Project for traditional owner, indigenous and Pilbara based </w:t>
      </w:r>
      <w:r w:rsidRPr="00A735D7">
        <w:rPr>
          <w:rFonts w:eastAsia="Calibri"/>
          <w:color w:val="000000"/>
          <w:szCs w:val="22"/>
        </w:rPr>
        <w:t>businesses.</w:t>
      </w:r>
    </w:p>
    <w:p w14:paraId="1A29B69F" w14:textId="77777777" w:rsidR="00C64AED" w:rsidRPr="00A735D7"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szCs w:val="22"/>
        </w:rPr>
      </w:pPr>
      <w:r w:rsidRPr="00A735D7">
        <w:rPr>
          <w:b/>
          <w:szCs w:val="22"/>
        </w:rPr>
        <w:t xml:space="preserve">Locally Sourced Contracting and Procurement Packages </w:t>
      </w:r>
      <w:r w:rsidRPr="00A735D7">
        <w:rPr>
          <w:rFonts w:eastAsia="Calibri"/>
          <w:color w:val="000000"/>
          <w:szCs w:val="22"/>
        </w:rPr>
        <w:t>– For tender packages less than AUD$50,000, Mardie will use best endeavours to source from Pilbara regional businesses and contractors according to BCI’s Priority Hierarchy in point 4.</w:t>
      </w:r>
    </w:p>
    <w:p w14:paraId="4D4FAC5B" w14:textId="77777777" w:rsidR="00C64AED"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pPr>
      <w:r>
        <w:rPr>
          <w:b/>
        </w:rPr>
        <w:t xml:space="preserve">Local Price Preference </w:t>
      </w:r>
      <w:r>
        <w:rPr>
          <w:rFonts w:eastAsia="Calibri"/>
          <w:color w:val="000000"/>
          <w:spacing w:val="-2"/>
        </w:rPr>
        <w:t>– Mardie has created a local price preference mechanism for packages below AUD$1M, whereby if comparable against other minimum criteria requirements and scope, BCI will enable a price preferential for award of 5% for Pilbara based businesses and contractors and 10% for Pilbara indigenous based businesses and contractors.</w:t>
      </w:r>
    </w:p>
    <w:p w14:paraId="0493FA8D" w14:textId="77777777" w:rsidR="00C64AED" w:rsidRPr="00767E75"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pPr>
      <w:r>
        <w:rPr>
          <w:b/>
        </w:rPr>
        <w:t xml:space="preserve">Information for </w:t>
      </w:r>
      <w:r w:rsidRPr="00A735D7">
        <w:rPr>
          <w:b/>
        </w:rPr>
        <w:t>Invitation to Tender</w:t>
      </w:r>
      <w:r>
        <w:rPr>
          <w:b/>
        </w:rPr>
        <w:t>ers (ITT)</w:t>
      </w:r>
      <w:r w:rsidRPr="00A735D7">
        <w:rPr>
          <w:b/>
        </w:rPr>
        <w:t xml:space="preserve"> </w:t>
      </w:r>
      <w:r>
        <w:t>– ITT’s and other contracting and procurement participants will be issued capability profiles of relevant Pilbara based sub-contractors to support regional contractor engagement. ITT’s will then be requested to nominate scopes of work suitable for local industry engagement and the Pilbara based, WA and Australian subcontractors they propose to deliver the scope of work.</w:t>
      </w:r>
    </w:p>
    <w:p w14:paraId="3BFF9E62" w14:textId="77777777" w:rsidR="00C64AED" w:rsidRPr="00767E75"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rPr>
      </w:pPr>
      <w:r w:rsidRPr="00767E75">
        <w:rPr>
          <w:b/>
        </w:rPr>
        <w:t xml:space="preserve">Local Engagement </w:t>
      </w:r>
      <w:r>
        <w:rPr>
          <w:b/>
        </w:rPr>
        <w:t>Plans</w:t>
      </w:r>
      <w:r w:rsidRPr="00767E75">
        <w:rPr>
          <w:b/>
        </w:rPr>
        <w:t xml:space="preserve"> </w:t>
      </w:r>
      <w:r>
        <w:t>- Mardie and its contractors will require a local engagement plan to deliver these AIP Plan commitments.</w:t>
      </w:r>
    </w:p>
    <w:p w14:paraId="586BE10E" w14:textId="77777777" w:rsidR="00C64AED" w:rsidRPr="007E3344"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rPr>
      </w:pPr>
      <w:r>
        <w:rPr>
          <w:b/>
        </w:rPr>
        <w:t>Cascading Local Engagement Clause</w:t>
      </w:r>
      <w:r w:rsidRPr="00767E75">
        <w:rPr>
          <w:b/>
        </w:rPr>
        <w:t xml:space="preserve"> </w:t>
      </w:r>
      <w:r w:rsidRPr="00767E75">
        <w:t xml:space="preserve">– </w:t>
      </w:r>
      <w:r>
        <w:t>BCI will insert a local engagement contractual clause requiring any prime contractor(s) to follow these processes and contractually cascade the same requirement to its sub-contractors during implementation.</w:t>
      </w:r>
    </w:p>
    <w:p w14:paraId="3DA5AC8E" w14:textId="1DF8D1F8" w:rsidR="00C64AED" w:rsidRPr="00767E75" w:rsidRDefault="00C64AED" w:rsidP="00C64AED">
      <w:pPr>
        <w:pStyle w:val="ListParagraph"/>
        <w:numPr>
          <w:ilvl w:val="0"/>
          <w:numId w:val="3"/>
        </w:numPr>
        <w:pBdr>
          <w:top w:val="single" w:sz="4" w:space="0" w:color="000000"/>
          <w:left w:val="single" w:sz="4" w:space="0" w:color="000000"/>
          <w:bottom w:val="single" w:sz="4" w:space="0" w:color="000000"/>
          <w:right w:val="single" w:sz="4" w:space="0" w:color="000000"/>
        </w:pBdr>
        <w:spacing w:before="0" w:after="297" w:line="249" w:lineRule="auto"/>
        <w:rPr>
          <w:b/>
        </w:rPr>
      </w:pPr>
      <w:r>
        <w:rPr>
          <w:b/>
        </w:rPr>
        <w:t>Monitoring of Compliance and Reporting</w:t>
      </w:r>
      <w:r w:rsidRPr="00767E75">
        <w:rPr>
          <w:b/>
        </w:rPr>
        <w:t xml:space="preserve"> </w:t>
      </w:r>
      <w:r>
        <w:t xml:space="preserve">– BCI, its contractors and sub-contractors will </w:t>
      </w:r>
      <w:r w:rsidRPr="00767E75">
        <w:t>report on the performance of these AIP</w:t>
      </w:r>
      <w:r w:rsidR="00187EC3">
        <w:t>P</w:t>
      </w:r>
      <w:r w:rsidRPr="00767E75">
        <w:t xml:space="preserve"> commitments on a 6-monthly basis</w:t>
      </w:r>
      <w:r>
        <w:t xml:space="preserve"> post-FID</w:t>
      </w:r>
      <w:r w:rsidRPr="00767E75">
        <w:t xml:space="preserve"> and</w:t>
      </w:r>
      <w:r>
        <w:t xml:space="preserve"> if the obligations have not been met, demonstrate corrective actions.</w:t>
      </w:r>
    </w:p>
    <w:p w14:paraId="3609E055" w14:textId="77777777" w:rsidR="008857E3" w:rsidRDefault="008857E3" w:rsidP="00F33D1C">
      <w:pPr>
        <w:pStyle w:val="Heading2"/>
      </w:pPr>
    </w:p>
    <w:p w14:paraId="1D59ECC0" w14:textId="77777777" w:rsidR="00E45719" w:rsidRDefault="000E4E23" w:rsidP="00F33D1C">
      <w:pPr>
        <w:pStyle w:val="Heading2"/>
      </w:pPr>
      <w:r>
        <w:lastRenderedPageBreak/>
        <w:t>5</w:t>
      </w:r>
      <w:r w:rsidR="00F33D1C">
        <w:t xml:space="preserve">. </w:t>
      </w:r>
      <w:r w:rsidR="001C7979">
        <w:t>AIP activities to be undertaken by procurement entities</w:t>
      </w:r>
    </w:p>
    <w:p w14:paraId="5CB5DD62" w14:textId="5B209A03" w:rsidR="00C64AED" w:rsidRPr="00E31803" w:rsidRDefault="00C64AED" w:rsidP="00C64AED">
      <w:pPr>
        <w:pStyle w:val="ListParagraph"/>
        <w:numPr>
          <w:ilvl w:val="0"/>
          <w:numId w:val="4"/>
        </w:numPr>
        <w:pBdr>
          <w:top w:val="single" w:sz="4" w:space="0" w:color="000000"/>
          <w:left w:val="single" w:sz="4" w:space="0" w:color="000000"/>
          <w:bottom w:val="single" w:sz="4" w:space="0" w:color="000000"/>
          <w:right w:val="single" w:sz="4" w:space="0" w:color="000000"/>
        </w:pBdr>
        <w:spacing w:before="0" w:after="297" w:line="249" w:lineRule="auto"/>
        <w:rPr>
          <w:b/>
        </w:rPr>
      </w:pPr>
      <w:r w:rsidRPr="009918D6">
        <w:rPr>
          <w:b/>
        </w:rPr>
        <w:t>Cascading</w:t>
      </w:r>
      <w:bookmarkStart w:id="4" w:name="_Hlk504653476"/>
      <w:r w:rsidRPr="009918D6">
        <w:rPr>
          <w:b/>
        </w:rPr>
        <w:t xml:space="preserve"> Local Engagement Clause </w:t>
      </w:r>
      <w:bookmarkStart w:id="5" w:name="_Hlk58413841"/>
      <w:bookmarkEnd w:id="4"/>
      <w:r>
        <w:t>- BCI will prepare a local engagement contractual clause requiring the Project’s prime contractor(s) to follow these processes and contractually cascade the same requirement to its sub-contractors.</w:t>
      </w:r>
      <w:bookmarkEnd w:id="5"/>
    </w:p>
    <w:p w14:paraId="1DDC44E3" w14:textId="47FAED1D" w:rsidR="00D60A56" w:rsidRPr="00084E22" w:rsidRDefault="00D60A56" w:rsidP="00C64AED"/>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C9BB" w14:textId="77777777" w:rsidR="00967F5C" w:rsidRDefault="00967F5C" w:rsidP="007F331A">
      <w:pPr>
        <w:spacing w:after="0"/>
      </w:pPr>
      <w:r>
        <w:separator/>
      </w:r>
    </w:p>
  </w:endnote>
  <w:endnote w:type="continuationSeparator" w:id="0">
    <w:p w14:paraId="079C3063" w14:textId="77777777" w:rsidR="00967F5C" w:rsidRDefault="00967F5C"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D62" w14:textId="77777777" w:rsidR="00436B47" w:rsidRDefault="00436B47" w:rsidP="0078593E">
    <w:pPr>
      <w:pStyle w:val="Footnote"/>
    </w:pPr>
  </w:p>
  <w:p w14:paraId="3C02B33E" w14:textId="7BDEB877" w:rsidR="00436B47" w:rsidRDefault="00436B47" w:rsidP="00DA4DD2">
    <w:pPr>
      <w:pStyle w:val="Footnote"/>
    </w:pPr>
    <w:r>
      <w:t xml:space="preserve">Jobs Act AIP </w:t>
    </w:r>
    <w:r w:rsidR="00187EC3">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4636B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C35AE5">
          <w:rPr>
            <w:noProof/>
            <w:szCs w:val="16"/>
          </w:rPr>
          <w:t>4</w:t>
        </w:r>
        <w:r w:rsidR="00436B47"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21B4" w14:textId="77777777" w:rsidR="00967F5C" w:rsidRDefault="00967F5C" w:rsidP="007F331A">
      <w:pPr>
        <w:spacing w:after="0"/>
      </w:pPr>
      <w:r>
        <w:separator/>
      </w:r>
    </w:p>
  </w:footnote>
  <w:footnote w:type="continuationSeparator" w:id="0">
    <w:p w14:paraId="1DA1CA2E" w14:textId="77777777" w:rsidR="00967F5C" w:rsidRDefault="00967F5C"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1F"/>
    <w:multiLevelType w:val="hybridMultilevel"/>
    <w:tmpl w:val="C1D478A0"/>
    <w:lvl w:ilvl="0" w:tplc="D9B8E8B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C2980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0E75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344B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D6FBD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443A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866A9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B0B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A2F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169082F"/>
    <w:multiLevelType w:val="hybridMultilevel"/>
    <w:tmpl w:val="A712D580"/>
    <w:lvl w:ilvl="0" w:tplc="FE00E414">
      <w:start w:val="1"/>
      <w:numFmt w:val="decimal"/>
      <w:lvlText w:val="%1."/>
      <w:lvlJc w:val="left"/>
      <w:pPr>
        <w:ind w:left="502"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92315"/>
    <w:multiLevelType w:val="hybridMultilevel"/>
    <w:tmpl w:val="763666BC"/>
    <w:lvl w:ilvl="0" w:tplc="08C27076">
      <w:start w:val="1"/>
      <w:numFmt w:val="decimal"/>
      <w:lvlText w:val="%1."/>
      <w:lvlJc w:val="left"/>
      <w:pPr>
        <w:ind w:left="4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5282744">
    <w:abstractNumId w:val="1"/>
  </w:num>
  <w:num w:numId="2" w16cid:durableId="336661894">
    <w:abstractNumId w:val="3"/>
  </w:num>
  <w:num w:numId="3" w16cid:durableId="712658806">
    <w:abstractNumId w:val="2"/>
  </w:num>
  <w:num w:numId="4" w16cid:durableId="209513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61735"/>
    <w:rsid w:val="00084E22"/>
    <w:rsid w:val="00092840"/>
    <w:rsid w:val="000A5D00"/>
    <w:rsid w:val="000B5660"/>
    <w:rsid w:val="000E4E23"/>
    <w:rsid w:val="000E5CC6"/>
    <w:rsid w:val="000F1764"/>
    <w:rsid w:val="00144BE0"/>
    <w:rsid w:val="00187EC3"/>
    <w:rsid w:val="0019332F"/>
    <w:rsid w:val="00195CD7"/>
    <w:rsid w:val="001964CB"/>
    <w:rsid w:val="00196BC4"/>
    <w:rsid w:val="001A06E2"/>
    <w:rsid w:val="001C7979"/>
    <w:rsid w:val="001E1B65"/>
    <w:rsid w:val="002032CF"/>
    <w:rsid w:val="00244FC4"/>
    <w:rsid w:val="00251113"/>
    <w:rsid w:val="00253B13"/>
    <w:rsid w:val="00282ABE"/>
    <w:rsid w:val="002F0296"/>
    <w:rsid w:val="002F5693"/>
    <w:rsid w:val="00300662"/>
    <w:rsid w:val="00304970"/>
    <w:rsid w:val="0033145F"/>
    <w:rsid w:val="00334757"/>
    <w:rsid w:val="00335D8E"/>
    <w:rsid w:val="00391C18"/>
    <w:rsid w:val="003B0746"/>
    <w:rsid w:val="003B7F3F"/>
    <w:rsid w:val="00407DE1"/>
    <w:rsid w:val="00412EDE"/>
    <w:rsid w:val="004279CD"/>
    <w:rsid w:val="00436B47"/>
    <w:rsid w:val="00456F62"/>
    <w:rsid w:val="004614A5"/>
    <w:rsid w:val="0046348C"/>
    <w:rsid w:val="004636B0"/>
    <w:rsid w:val="004B70FC"/>
    <w:rsid w:val="004E1141"/>
    <w:rsid w:val="00536B0D"/>
    <w:rsid w:val="00537BA8"/>
    <w:rsid w:val="0057513A"/>
    <w:rsid w:val="005861E6"/>
    <w:rsid w:val="00587ADB"/>
    <w:rsid w:val="00606D46"/>
    <w:rsid w:val="00607EDF"/>
    <w:rsid w:val="0061227B"/>
    <w:rsid w:val="006160AF"/>
    <w:rsid w:val="00632568"/>
    <w:rsid w:val="00645886"/>
    <w:rsid w:val="00652DB5"/>
    <w:rsid w:val="0068067F"/>
    <w:rsid w:val="00694BEF"/>
    <w:rsid w:val="006A2243"/>
    <w:rsid w:val="006A76BF"/>
    <w:rsid w:val="006F549A"/>
    <w:rsid w:val="006F5C72"/>
    <w:rsid w:val="00700EBB"/>
    <w:rsid w:val="00702597"/>
    <w:rsid w:val="00730291"/>
    <w:rsid w:val="0078593E"/>
    <w:rsid w:val="007F331A"/>
    <w:rsid w:val="00815CBD"/>
    <w:rsid w:val="008367F1"/>
    <w:rsid w:val="008857E3"/>
    <w:rsid w:val="008862FC"/>
    <w:rsid w:val="008B5B6B"/>
    <w:rsid w:val="008E267B"/>
    <w:rsid w:val="00907971"/>
    <w:rsid w:val="00967F5C"/>
    <w:rsid w:val="009818F3"/>
    <w:rsid w:val="009C3EAC"/>
    <w:rsid w:val="00A5285B"/>
    <w:rsid w:val="00A850BA"/>
    <w:rsid w:val="00A903F6"/>
    <w:rsid w:val="00AB463A"/>
    <w:rsid w:val="00AE1E30"/>
    <w:rsid w:val="00AF4C3E"/>
    <w:rsid w:val="00B332E7"/>
    <w:rsid w:val="00B463AA"/>
    <w:rsid w:val="00B757D5"/>
    <w:rsid w:val="00B837DF"/>
    <w:rsid w:val="00BA3852"/>
    <w:rsid w:val="00BB702E"/>
    <w:rsid w:val="00BE140A"/>
    <w:rsid w:val="00BE6541"/>
    <w:rsid w:val="00C35AE5"/>
    <w:rsid w:val="00C64AED"/>
    <w:rsid w:val="00CE4377"/>
    <w:rsid w:val="00D420B0"/>
    <w:rsid w:val="00D60A56"/>
    <w:rsid w:val="00D8571B"/>
    <w:rsid w:val="00DA3C5D"/>
    <w:rsid w:val="00DA4DD2"/>
    <w:rsid w:val="00DB210C"/>
    <w:rsid w:val="00DC7C1C"/>
    <w:rsid w:val="00E041EE"/>
    <w:rsid w:val="00E05FDA"/>
    <w:rsid w:val="00E20C9B"/>
    <w:rsid w:val="00E45719"/>
    <w:rsid w:val="00E45998"/>
    <w:rsid w:val="00E93BB7"/>
    <w:rsid w:val="00EA4885"/>
    <w:rsid w:val="00EA78E2"/>
    <w:rsid w:val="00EE570C"/>
    <w:rsid w:val="00F33D1C"/>
    <w:rsid w:val="00F9338B"/>
    <w:rsid w:val="00FA0506"/>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2F0296"/>
    <w:rPr>
      <w:color w:val="0000FF" w:themeColor="hyperlink"/>
      <w:u w:val="single"/>
    </w:rPr>
  </w:style>
  <w:style w:type="character" w:customStyle="1" w:styleId="UnresolvedMention1">
    <w:name w:val="Unresolved Mention1"/>
    <w:basedOn w:val="DefaultParagraphFont"/>
    <w:uiPriority w:val="99"/>
    <w:semiHidden/>
    <w:unhideWhenUsed/>
    <w:rsid w:val="000E5CC6"/>
    <w:rPr>
      <w:color w:val="605E5C"/>
      <w:shd w:val="clear" w:color="auto" w:fill="E1DFDD"/>
    </w:rPr>
  </w:style>
  <w:style w:type="character" w:styleId="UnresolvedMention">
    <w:name w:val="Unresolved Mention"/>
    <w:basedOn w:val="DefaultParagraphFont"/>
    <w:uiPriority w:val="99"/>
    <w:semiHidden/>
    <w:unhideWhenUsed/>
    <w:rsid w:val="0040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naulls@bciminerals.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ciminerals.com.au/our-assets/mardie-sal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211134549E4746DC9C9715D265B2BE7F"/>
        <w:category>
          <w:name w:val="General"/>
          <w:gallery w:val="placeholder"/>
        </w:category>
        <w:types>
          <w:type w:val="bbPlcHdr"/>
        </w:types>
        <w:behaviors>
          <w:behavior w:val="content"/>
        </w:behaviors>
        <w:guid w:val="{764BCD37-1DC5-42D5-9687-84194EBB7F85}"/>
      </w:docPartPr>
      <w:docPartBody>
        <w:p w:rsidR="005C7974" w:rsidRDefault="00AC4418" w:rsidP="00AC4418">
          <w:pPr>
            <w:pStyle w:val="211134549E4746DC9C9715D265B2BE7F"/>
          </w:pPr>
          <w:r>
            <w:rPr>
              <w:rStyle w:val="PlaceholderText"/>
            </w:rPr>
            <w:t>Provide the location of where the majority of the project will be undertaken</w:t>
          </w:r>
        </w:p>
      </w:docPartBody>
    </w:docPart>
    <w:docPart>
      <w:docPartPr>
        <w:name w:val="6EB81814C5504A5C8C903F81E5949477"/>
        <w:category>
          <w:name w:val="General"/>
          <w:gallery w:val="placeholder"/>
        </w:category>
        <w:types>
          <w:type w:val="bbPlcHdr"/>
        </w:types>
        <w:behaviors>
          <w:behavior w:val="content"/>
        </w:behaviors>
        <w:guid w:val="{FB4193F6-88E1-4EA6-A797-1BE5739381BD}"/>
      </w:docPartPr>
      <w:docPartBody>
        <w:p w:rsidR="005C7974" w:rsidRDefault="00AC4418" w:rsidP="00AC4418">
          <w:pPr>
            <w:pStyle w:val="6EB81814C5504A5C8C903F81E5949477"/>
          </w:pPr>
          <w:r>
            <w:rPr>
              <w:rStyle w:val="PlaceholderText"/>
            </w:rPr>
            <w:t>Provide the name, phone number and email address of the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3A379C"/>
    <w:rsid w:val="004037B1"/>
    <w:rsid w:val="00454CFF"/>
    <w:rsid w:val="005346A0"/>
    <w:rsid w:val="005C7974"/>
    <w:rsid w:val="005E2BD0"/>
    <w:rsid w:val="00AC4418"/>
    <w:rsid w:val="00C45120"/>
    <w:rsid w:val="00F77BB4"/>
    <w:rsid w:val="00F82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4418"/>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ABB3F9A48BD544F49923E8140EDB8E8B">
    <w:name w:val="ABB3F9A48BD544F49923E8140EDB8E8B"/>
  </w:style>
  <w:style w:type="paragraph" w:customStyle="1" w:styleId="E212CCF96A6D4D6BAAC64F394060C9A4">
    <w:name w:val="E212CCF96A6D4D6BAAC64F394060C9A4"/>
  </w:style>
  <w:style w:type="paragraph" w:customStyle="1" w:styleId="C05A38160EDF40099956EA9C9B1F9025">
    <w:name w:val="C05A38160EDF40099956EA9C9B1F9025"/>
  </w:style>
  <w:style w:type="paragraph" w:customStyle="1" w:styleId="211134549E4746DC9C9715D265B2BE7F">
    <w:name w:val="211134549E4746DC9C9715D265B2BE7F"/>
    <w:rsid w:val="00AC4418"/>
  </w:style>
  <w:style w:type="paragraph" w:customStyle="1" w:styleId="6EB81814C5504A5C8C903F81E5949477">
    <w:name w:val="6EB81814C5504A5C8C903F81E5949477"/>
    <w:rsid w:val="00AC4418"/>
  </w:style>
  <w:style w:type="paragraph" w:customStyle="1" w:styleId="CA210A5E6F5C45B8B8BCFF57ECDF4D0F">
    <w:name w:val="CA210A5E6F5C45B8B8BCFF57ECDF4D0F"/>
    <w:rsid w:val="0045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A3PSR54DD4M5-1752746618-1322</_dlc_DocId>
    <_dlc_DocIdUrl xmlns="498945f5-0448-4b4c-97d9-fcd4d7a5a1b1">
      <Url>https://dochub/div/sectoralgrowthpolicy/businessfunctions/australianindustryparticipation/policydevelopment/_layouts/15/DocIdRedir.aspx?ID=A3PSR54DD4M5-1752746618-1322</Url>
      <Description>A3PSR54DD4M5-1752746618-1322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8d013bc8b4701430552d6558f95e8f43">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29586c086b9329fe3fd76d94ab396cda"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62781CCC-9ED7-4470-A683-A73E35F5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5.xml><?xml version="1.0" encoding="utf-8"?>
<ds:datastoreItem xmlns:ds="http://schemas.openxmlformats.org/officeDocument/2006/customXml" ds:itemID="{B8BFD81B-7C50-4B86-9928-15C226D1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Avlonitis, Margetta</cp:lastModifiedBy>
  <cp:revision>2</cp:revision>
  <cp:lastPrinted>2021-07-02T00:52:00Z</cp:lastPrinted>
  <dcterms:created xsi:type="dcterms:W3CDTF">2024-04-05T09:40:00Z</dcterms:created>
  <dcterms:modified xsi:type="dcterms:W3CDTF">2024-04-05T09:40:00Z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65da0cf4-e76c-4a1d-b9ca-910fcd86bb51</vt:lpwstr>
  </property>
</Properties>
</file>