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A6E7" w14:textId="77777777" w:rsidR="000B0251" w:rsidRDefault="000C48A1">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Thu May 30 2024 09:41 :58 GMT+ 1000 (AEST) *****</w:t>
      </w:r>
    </w:p>
    <w:p w14:paraId="27ACA95C" w14:textId="77777777" w:rsidR="000B0251" w:rsidRDefault="000B0251">
      <w:pPr>
        <w:spacing w:before="3" w:after="1250" w:line="183" w:lineRule="exact"/>
        <w:sectPr w:rsidR="000B0251">
          <w:pgSz w:w="11904" w:h="16843"/>
          <w:pgMar w:top="1040" w:right="847" w:bottom="867" w:left="557" w:header="720" w:footer="720" w:gutter="0"/>
          <w:cols w:space="720"/>
        </w:sectPr>
      </w:pPr>
    </w:p>
    <w:p w14:paraId="25EA062A" w14:textId="77777777" w:rsidR="000B0251" w:rsidRDefault="000C48A1">
      <w:pPr>
        <w:spacing w:line="391" w:lineRule="exact"/>
        <w:jc w:val="center"/>
        <w:textAlignment w:val="baseline"/>
        <w:rPr>
          <w:rFonts w:ascii="Arial" w:eastAsia="Arial" w:hAnsi="Arial"/>
          <w:color w:val="000000"/>
          <w:spacing w:val="6"/>
          <w:w w:val="95"/>
          <w:sz w:val="34"/>
        </w:rPr>
      </w:pPr>
      <w:r>
        <w:pict w14:anchorId="033F6BCD">
          <v:shapetype id="_x0000_t202" coordsize="21600,21600" o:spt="202" path="m,l,21600r21600,l21600,xe">
            <v:stroke joinstyle="miter"/>
            <v:path gradientshapeok="t" o:connecttype="rect"/>
          </v:shapetype>
          <v:shape id="_x0000_s0" o:spid="_x0000_s1028" type="#_x0000_t202" style="position:absolute;left:0;text-align:left;margin-left:209.3pt;margin-top:124.1pt;width:2in;height:24.65pt;z-index:-251659776;mso-wrap-distance-left:0;mso-wrap-distance-right:0;mso-position-horizontal-relative:page;mso-position-vertical-relative:page" filled="f" stroked="f">
            <v:textbox inset="0,0,0,0">
              <w:txbxContent>
                <w:p w14:paraId="5037BCF1" w14:textId="77777777" w:rsidR="000B0251" w:rsidRDefault="000C48A1">
                  <w:pPr>
                    <w:spacing w:after="162"/>
                    <w:ind w:right="34"/>
                    <w:textAlignment w:val="baseline"/>
                  </w:pPr>
                  <w:r>
                    <w:rPr>
                      <w:noProof/>
                    </w:rPr>
                    <w:drawing>
                      <wp:inline distT="0" distB="0" distL="0" distR="0" wp14:anchorId="1CB82651" wp14:editId="5FA2A067">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 xml:space="preserve">Australian Jobs Act </w:t>
      </w:r>
      <w:r>
        <w:rPr>
          <w:rFonts w:ascii="Arial" w:eastAsia="Arial" w:hAnsi="Arial"/>
          <w:color w:val="000000"/>
          <w:spacing w:val="6"/>
          <w:w w:val="95"/>
          <w:sz w:val="34"/>
        </w:rPr>
        <w:t>2013</w:t>
      </w:r>
    </w:p>
    <w:p w14:paraId="1DFB47A3" w14:textId="77777777" w:rsidR="000B0251" w:rsidRDefault="000C48A1">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4BF7EB8A" w14:textId="77777777" w:rsidR="000B0251" w:rsidRDefault="000C48A1">
      <w:pPr>
        <w:spacing w:before="474" w:after="84" w:line="393" w:lineRule="exact"/>
        <w:jc w:val="center"/>
        <w:textAlignment w:val="baseline"/>
        <w:rPr>
          <w:rFonts w:ascii="Arial" w:eastAsia="Arial" w:hAnsi="Arial"/>
          <w:color w:val="000000"/>
          <w:spacing w:val="7"/>
          <w:w w:val="95"/>
          <w:sz w:val="34"/>
        </w:rPr>
      </w:pPr>
      <w:r>
        <w:pict w14:anchorId="33174EEC">
          <v:line id="_x0000_s1027" style="position:absolute;left:0;text-align:left;z-index:251657728;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0113F73C" w14:textId="77777777" w:rsidR="000B0251" w:rsidRDefault="000C48A1">
      <w:pPr>
        <w:spacing w:before="123" w:line="183" w:lineRule="exact"/>
        <w:ind w:left="288"/>
        <w:textAlignment w:val="baseline"/>
        <w:rPr>
          <w:rFonts w:ascii="Arial" w:eastAsia="Arial" w:hAnsi="Arial"/>
          <w:b/>
          <w:color w:val="000000"/>
          <w:spacing w:val="-1"/>
          <w:sz w:val="16"/>
        </w:rPr>
      </w:pPr>
      <w:r>
        <w:pict w14:anchorId="203B7719">
          <v:line id="_x0000_s1026" style="position:absolute;left:0;text-align:left;z-index:251658752;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HAMERSLEY IRON PTY. LIMITED</w:t>
      </w:r>
    </w:p>
    <w:p w14:paraId="76007410" w14:textId="77777777" w:rsidR="000B0251" w:rsidRDefault="000C48A1">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0A717DA8" w14:textId="77777777" w:rsidR="000B0251" w:rsidRDefault="000C48A1">
      <w:pPr>
        <w:spacing w:before="3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Name: Brockman Syncline 1 Project</w:t>
      </w:r>
    </w:p>
    <w:p w14:paraId="3EEE4E01" w14:textId="77777777" w:rsidR="000B0251" w:rsidRDefault="000C48A1">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Location: West Pilbara, WA</w:t>
      </w:r>
    </w:p>
    <w:p w14:paraId="57334A23" w14:textId="77777777" w:rsidR="000B0251" w:rsidRDefault="000C48A1">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Mine or quarry</w:t>
      </w:r>
    </w:p>
    <w:p w14:paraId="65B00F62" w14:textId="77777777" w:rsidR="000B0251" w:rsidRDefault="000C48A1">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2E4B074E" w14:textId="77777777" w:rsidR="000B0251" w:rsidRDefault="000C48A1">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0F6419F9" w14:textId="77777777" w:rsidR="000B0251" w:rsidRDefault="000C48A1">
      <w:pPr>
        <w:spacing w:before="132" w:line="219" w:lineRule="exact"/>
        <w:ind w:left="504" w:right="648"/>
        <w:textAlignment w:val="baseline"/>
        <w:rPr>
          <w:rFonts w:ascii="Arial" w:eastAsia="Arial" w:hAnsi="Arial"/>
          <w:color w:val="000000"/>
          <w:spacing w:val="-3"/>
          <w:sz w:val="16"/>
        </w:rPr>
      </w:pPr>
      <w:r>
        <w:rPr>
          <w:rFonts w:ascii="Arial" w:eastAsia="Arial" w:hAnsi="Arial"/>
          <w:color w:val="000000"/>
          <w:spacing w:val="-3"/>
          <w:sz w:val="16"/>
        </w:rPr>
        <w:t>Description: The Project will include the following components: Brockman Syncline 1 (BS1) is a greenfield satellite mine development to the Brockman 4 mine and will be located wit</w:t>
      </w:r>
      <w:r>
        <w:rPr>
          <w:rFonts w:ascii="Arial" w:eastAsia="Arial" w:hAnsi="Arial"/>
          <w:color w:val="000000"/>
          <w:spacing w:val="-3"/>
          <w:sz w:val="16"/>
        </w:rPr>
        <w:t xml:space="preserve">hin the Greater Brockman Hub in the West Pilbara, approximately 8km north of the existing Brockman 4 operations (Site). The BS1 project is located on the country of the </w:t>
      </w:r>
      <w:proofErr w:type="spellStart"/>
      <w:r>
        <w:rPr>
          <w:rFonts w:ascii="Arial" w:eastAsia="Arial" w:hAnsi="Arial"/>
          <w:color w:val="000000"/>
          <w:spacing w:val="-3"/>
          <w:sz w:val="16"/>
        </w:rPr>
        <w:t>Puutu</w:t>
      </w:r>
      <w:proofErr w:type="spellEnd"/>
      <w:r>
        <w:rPr>
          <w:rFonts w:ascii="Arial" w:eastAsia="Arial" w:hAnsi="Arial"/>
          <w:color w:val="000000"/>
          <w:spacing w:val="-3"/>
          <w:sz w:val="16"/>
        </w:rPr>
        <w:t xml:space="preserve"> Kunti </w:t>
      </w:r>
      <w:proofErr w:type="spellStart"/>
      <w:r>
        <w:rPr>
          <w:rFonts w:ascii="Arial" w:eastAsia="Arial" w:hAnsi="Arial"/>
          <w:color w:val="000000"/>
          <w:spacing w:val="-3"/>
          <w:sz w:val="16"/>
        </w:rPr>
        <w:t>Kurrama</w:t>
      </w:r>
      <w:proofErr w:type="spellEnd"/>
      <w:r>
        <w:rPr>
          <w:rFonts w:ascii="Arial" w:eastAsia="Arial" w:hAnsi="Arial"/>
          <w:color w:val="000000"/>
          <w:spacing w:val="-3"/>
          <w:sz w:val="16"/>
        </w:rPr>
        <w:t xml:space="preserve"> people and the Pi </w:t>
      </w:r>
      <w:proofErr w:type="spellStart"/>
      <w:r>
        <w:rPr>
          <w:rFonts w:ascii="Arial" w:eastAsia="Arial" w:hAnsi="Arial"/>
          <w:color w:val="000000"/>
          <w:spacing w:val="-3"/>
          <w:sz w:val="16"/>
        </w:rPr>
        <w:t>ni</w:t>
      </w:r>
      <w:proofErr w:type="spellEnd"/>
      <w:r>
        <w:rPr>
          <w:rFonts w:ascii="Arial" w:eastAsia="Arial" w:hAnsi="Arial"/>
          <w:color w:val="000000"/>
          <w:spacing w:val="-3"/>
          <w:sz w:val="16"/>
        </w:rPr>
        <w:t xml:space="preserve"> </w:t>
      </w:r>
      <w:proofErr w:type="spellStart"/>
      <w:r>
        <w:rPr>
          <w:rFonts w:ascii="Arial" w:eastAsia="Arial" w:hAnsi="Arial"/>
          <w:color w:val="000000"/>
          <w:spacing w:val="-3"/>
          <w:sz w:val="16"/>
        </w:rPr>
        <w:t>kura</w:t>
      </w:r>
      <w:proofErr w:type="spellEnd"/>
      <w:r>
        <w:rPr>
          <w:rFonts w:ascii="Arial" w:eastAsia="Arial" w:hAnsi="Arial"/>
          <w:color w:val="000000"/>
          <w:spacing w:val="-3"/>
          <w:sz w:val="16"/>
        </w:rPr>
        <w:t xml:space="preserve"> people (PKKP), and on the country of the </w:t>
      </w:r>
      <w:r>
        <w:rPr>
          <w:rFonts w:ascii="Arial" w:eastAsia="Arial" w:hAnsi="Arial"/>
          <w:color w:val="000000"/>
          <w:spacing w:val="-3"/>
          <w:sz w:val="16"/>
        </w:rPr>
        <w:t xml:space="preserve">traditional owners of M </w:t>
      </w:r>
      <w:proofErr w:type="spellStart"/>
      <w:r>
        <w:rPr>
          <w:rFonts w:ascii="Arial" w:eastAsia="Arial" w:hAnsi="Arial"/>
          <w:color w:val="000000"/>
          <w:spacing w:val="-3"/>
          <w:sz w:val="16"/>
        </w:rPr>
        <w:t>untulgura</w:t>
      </w:r>
      <w:proofErr w:type="spellEnd"/>
      <w:r>
        <w:rPr>
          <w:rFonts w:ascii="Arial" w:eastAsia="Arial" w:hAnsi="Arial"/>
          <w:color w:val="000000"/>
          <w:spacing w:val="-3"/>
          <w:sz w:val="16"/>
        </w:rPr>
        <w:t xml:space="preserve"> </w:t>
      </w:r>
      <w:proofErr w:type="spellStart"/>
      <w:r>
        <w:rPr>
          <w:rFonts w:ascii="Arial" w:eastAsia="Arial" w:hAnsi="Arial"/>
          <w:color w:val="000000"/>
          <w:spacing w:val="-3"/>
          <w:sz w:val="16"/>
        </w:rPr>
        <w:t>Guruma</w:t>
      </w:r>
      <w:proofErr w:type="spellEnd"/>
      <w:r>
        <w:rPr>
          <w:rFonts w:ascii="Arial" w:eastAsia="Arial" w:hAnsi="Arial"/>
          <w:color w:val="000000"/>
          <w:spacing w:val="-3"/>
          <w:sz w:val="16"/>
        </w:rPr>
        <w:t xml:space="preserve"> people (MG). BS1 will be required to deliver high-grade ore to Brockman to sustain the Brockman 4 production rate. An additional run-of-mine (ROM) will be transported to the B2/</w:t>
      </w:r>
      <w:proofErr w:type="spellStart"/>
      <w:r>
        <w:rPr>
          <w:rFonts w:ascii="Arial" w:eastAsia="Arial" w:hAnsi="Arial"/>
          <w:color w:val="000000"/>
          <w:spacing w:val="-3"/>
          <w:sz w:val="16"/>
        </w:rPr>
        <w:t>Nammuldi</w:t>
      </w:r>
      <w:proofErr w:type="spellEnd"/>
      <w:r>
        <w:rPr>
          <w:rFonts w:ascii="Arial" w:eastAsia="Arial" w:hAnsi="Arial"/>
          <w:color w:val="000000"/>
          <w:spacing w:val="-3"/>
          <w:sz w:val="16"/>
        </w:rPr>
        <w:t xml:space="preserve"> plants via a road train trans</w:t>
      </w:r>
      <w:r>
        <w:rPr>
          <w:rFonts w:ascii="Arial" w:eastAsia="Arial" w:hAnsi="Arial"/>
          <w:color w:val="000000"/>
          <w:spacing w:val="-3"/>
          <w:sz w:val="16"/>
        </w:rPr>
        <w:t xml:space="preserve">fer pad located at the eastern end of BS1. BS1 ore will be primary crushed at BS1 and then transported by overland conveyor to the existing B4 plant for processing, stockpiling and train loading. The project will also include non-process infrastructure (N </w:t>
      </w:r>
      <w:r>
        <w:rPr>
          <w:rFonts w:ascii="Arial" w:eastAsia="Arial" w:hAnsi="Arial"/>
          <w:color w:val="000000"/>
          <w:spacing w:val="-3"/>
          <w:sz w:val="16"/>
        </w:rPr>
        <w:t>PI) facilities to support the mining operations, heavy vehicle and light vehicle road networks, a road train transfer pad, dewatering and water infrastructure, including a discharge pipeline, power and communications infrastructure, and a construction acco</w:t>
      </w:r>
      <w:r>
        <w:rPr>
          <w:rFonts w:ascii="Arial" w:eastAsia="Arial" w:hAnsi="Arial"/>
          <w:color w:val="000000"/>
          <w:spacing w:val="-3"/>
          <w:sz w:val="16"/>
        </w:rPr>
        <w:t xml:space="preserve">mmodation village. Anticipated key project dates: a) Approval of Early Procurement: Q2 2024 b) Full Project Approval: Q4 2024 c) Site Construction start: Q1 2025 d) Completion: Q4 2027 The Proponent has engaged Worley Services Pty Limited as the Project’s </w:t>
      </w:r>
      <w:r>
        <w:rPr>
          <w:rFonts w:ascii="Arial" w:eastAsia="Arial" w:hAnsi="Arial"/>
          <w:color w:val="000000"/>
          <w:spacing w:val="-3"/>
          <w:sz w:val="16"/>
        </w:rPr>
        <w:t>Engineering, Procurement and Construction Management (EPCM) contractor.</w:t>
      </w:r>
    </w:p>
    <w:p w14:paraId="0E4528BF" w14:textId="77777777" w:rsidR="000B0251" w:rsidRDefault="000C48A1">
      <w:pPr>
        <w:spacing w:before="135" w:after="4147"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30 Aug 2027</w:t>
      </w:r>
    </w:p>
    <w:p w14:paraId="0E38DF36" w14:textId="77777777" w:rsidR="000B0251" w:rsidRDefault="000B0251">
      <w:pPr>
        <w:spacing w:before="135" w:after="4147" w:line="182" w:lineRule="exact"/>
        <w:sectPr w:rsidR="000B0251">
          <w:type w:val="continuous"/>
          <w:pgSz w:w="11904" w:h="16843"/>
          <w:pgMar w:top="1040" w:right="847" w:bottom="867" w:left="557" w:header="720" w:footer="720" w:gutter="0"/>
          <w:cols w:space="720"/>
        </w:sectPr>
      </w:pPr>
    </w:p>
    <w:p w14:paraId="36D7DA75" w14:textId="77777777" w:rsidR="000B0251" w:rsidRDefault="000C48A1">
      <w:pPr>
        <w:spacing w:before="4" w:line="249" w:lineRule="exact"/>
        <w:textAlignment w:val="baseline"/>
        <w:rPr>
          <w:rFonts w:eastAsia="Times New Roman"/>
          <w:color w:val="000000"/>
          <w:spacing w:val="-2"/>
        </w:rPr>
      </w:pPr>
      <w:r>
        <w:rPr>
          <w:rFonts w:eastAsia="Times New Roman"/>
          <w:color w:val="000000"/>
          <w:spacing w:val="-2"/>
        </w:rPr>
        <w:t>Page 1 of 3</w:t>
      </w:r>
    </w:p>
    <w:p w14:paraId="11E48B0E" w14:textId="77777777" w:rsidR="000B0251" w:rsidRDefault="000B0251">
      <w:pPr>
        <w:sectPr w:rsidR="000B0251">
          <w:type w:val="continuous"/>
          <w:pgSz w:w="11904" w:h="16843"/>
          <w:pgMar w:top="1040" w:right="1018" w:bottom="867" w:left="9806" w:header="720" w:footer="720" w:gutter="0"/>
          <w:cols w:space="720"/>
        </w:sectPr>
      </w:pPr>
    </w:p>
    <w:p w14:paraId="07B755AE" w14:textId="77777777" w:rsidR="000B0251" w:rsidRDefault="000C48A1">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Thu May 30 2024 09:41 :58 GMT+ 1000 (AEST) *****</w:t>
      </w:r>
    </w:p>
    <w:p w14:paraId="1F5EB387" w14:textId="77777777" w:rsidR="000B0251" w:rsidRDefault="000C48A1">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0F1A082E" w14:textId="77777777" w:rsidR="000B0251" w:rsidRDefault="000C48A1">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490"/>
        <w:gridCol w:w="2325"/>
        <w:gridCol w:w="1675"/>
        <w:gridCol w:w="3590"/>
      </w:tblGrid>
      <w:tr w:rsidR="000B0251" w14:paraId="561BD49E" w14:textId="77777777">
        <w:tblPrEx>
          <w:tblCellMar>
            <w:top w:w="0" w:type="dxa"/>
            <w:bottom w:w="0" w:type="dxa"/>
          </w:tblCellMar>
        </w:tblPrEx>
        <w:trPr>
          <w:trHeight w:hRule="exact" w:val="628"/>
        </w:trPr>
        <w:tc>
          <w:tcPr>
            <w:tcW w:w="2490" w:type="dxa"/>
            <w:vAlign w:val="center"/>
          </w:tcPr>
          <w:p w14:paraId="74B880C9" w14:textId="77777777" w:rsidR="000B0251" w:rsidRDefault="000C48A1">
            <w:pPr>
              <w:spacing w:before="258" w:after="178" w:line="182" w:lineRule="exact"/>
              <w:ind w:right="73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325" w:type="dxa"/>
            <w:vAlign w:val="center"/>
          </w:tcPr>
          <w:p w14:paraId="65318213" w14:textId="77777777" w:rsidR="000B0251" w:rsidRDefault="000C48A1">
            <w:pPr>
              <w:spacing w:before="98" w:after="80" w:line="220" w:lineRule="exact"/>
              <w:ind w:left="504"/>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r>
            <w:r>
              <w:rPr>
                <w:rFonts w:ascii="Arial" w:eastAsia="Arial" w:hAnsi="Arial"/>
                <w:b/>
                <w:color w:val="000000"/>
                <w:sz w:val="16"/>
              </w:rPr>
              <w:t>Australian entities</w:t>
            </w:r>
            <w:r>
              <w:rPr>
                <w:rFonts w:ascii="Arial" w:eastAsia="Arial" w:hAnsi="Arial"/>
                <w:b/>
                <w:color w:val="000000"/>
                <w:sz w:val="16"/>
                <w:vertAlign w:val="superscript"/>
              </w:rPr>
              <w:t>*</w:t>
            </w:r>
            <w:r>
              <w:rPr>
                <w:rFonts w:ascii="Arial" w:eastAsia="Arial" w:hAnsi="Arial"/>
                <w:b/>
                <w:color w:val="000000"/>
                <w:sz w:val="13"/>
              </w:rPr>
              <w:t xml:space="preserve"> </w:t>
            </w:r>
          </w:p>
        </w:tc>
        <w:tc>
          <w:tcPr>
            <w:tcW w:w="1675" w:type="dxa"/>
          </w:tcPr>
          <w:p w14:paraId="3757F1D6" w14:textId="77777777" w:rsidR="000B0251" w:rsidRDefault="000C48A1">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590" w:type="dxa"/>
            <w:vAlign w:val="center"/>
          </w:tcPr>
          <w:p w14:paraId="43E57DE7" w14:textId="77777777" w:rsidR="000B0251" w:rsidRDefault="000C48A1">
            <w:pPr>
              <w:spacing w:before="101" w:after="77" w:line="220" w:lineRule="exact"/>
              <w:ind w:left="144"/>
              <w:textAlignment w:val="baseline"/>
              <w:rPr>
                <w:rFonts w:ascii="Arial" w:eastAsia="Arial" w:hAnsi="Arial"/>
                <w:b/>
                <w:color w:val="000000"/>
                <w:sz w:val="16"/>
              </w:rPr>
            </w:pPr>
            <w:r>
              <w:rPr>
                <w:rFonts w:ascii="Arial" w:eastAsia="Arial" w:hAnsi="Arial"/>
                <w:b/>
                <w:color w:val="000000"/>
                <w:sz w:val="16"/>
              </w:rPr>
              <w:t xml:space="preserve">Explanation for no opportunities </w:t>
            </w:r>
            <w:r>
              <w:rPr>
                <w:rFonts w:ascii="Arial" w:eastAsia="Arial" w:hAnsi="Arial"/>
                <w:b/>
                <w:color w:val="000000"/>
                <w:sz w:val="16"/>
              </w:rPr>
              <w:br/>
              <w:t>for Australian entities</w:t>
            </w:r>
          </w:p>
        </w:tc>
      </w:tr>
    </w:tbl>
    <w:p w14:paraId="04B8991A" w14:textId="77777777" w:rsidR="000B0251" w:rsidRDefault="000B0251">
      <w:pPr>
        <w:spacing w:after="15" w:line="20" w:lineRule="exact"/>
      </w:pPr>
    </w:p>
    <w:p w14:paraId="38D63CE8" w14:textId="77777777" w:rsidR="000B0251" w:rsidRDefault="000C48A1">
      <w:pPr>
        <w:tabs>
          <w:tab w:val="left" w:pos="3744"/>
          <w:tab w:val="left" w:pos="5616"/>
        </w:tabs>
        <w:spacing w:before="37" w:line="182" w:lineRule="exact"/>
        <w:textAlignment w:val="baseline"/>
        <w:rPr>
          <w:rFonts w:ascii="Arial" w:eastAsia="Arial" w:hAnsi="Arial"/>
          <w:color w:val="000000"/>
          <w:sz w:val="16"/>
        </w:rPr>
      </w:pPr>
      <w:r>
        <w:rPr>
          <w:rFonts w:ascii="Arial" w:eastAsia="Arial" w:hAnsi="Arial"/>
          <w:color w:val="000000"/>
          <w:sz w:val="16"/>
        </w:rPr>
        <w:t>Active Take-up Systems</w:t>
      </w:r>
      <w:r>
        <w:rPr>
          <w:rFonts w:ascii="Arial" w:eastAsia="Arial" w:hAnsi="Arial"/>
          <w:color w:val="000000"/>
          <w:sz w:val="16"/>
        </w:rPr>
        <w:tab/>
        <w:t>Yes</w:t>
      </w:r>
      <w:r>
        <w:rPr>
          <w:rFonts w:ascii="Arial" w:eastAsia="Arial" w:hAnsi="Arial"/>
          <w:color w:val="000000"/>
          <w:sz w:val="16"/>
        </w:rPr>
        <w:tab/>
        <w:t>No</w:t>
      </w:r>
    </w:p>
    <w:p w14:paraId="0DEB6E8B" w14:textId="77777777" w:rsidR="000B0251" w:rsidRDefault="000C48A1">
      <w:pPr>
        <w:tabs>
          <w:tab w:val="left" w:pos="3744"/>
          <w:tab w:val="left" w:pos="561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Conveyor Belts</w:t>
      </w:r>
      <w:r>
        <w:rPr>
          <w:rFonts w:ascii="Arial" w:eastAsia="Arial" w:hAnsi="Arial"/>
          <w:color w:val="000000"/>
          <w:spacing w:val="-1"/>
          <w:sz w:val="16"/>
        </w:rPr>
        <w:tab/>
        <w:t>Yes</w:t>
      </w:r>
      <w:r>
        <w:rPr>
          <w:rFonts w:ascii="Arial" w:eastAsia="Arial" w:hAnsi="Arial"/>
          <w:color w:val="000000"/>
          <w:spacing w:val="-1"/>
          <w:sz w:val="16"/>
        </w:rPr>
        <w:tab/>
        <w:t>No</w:t>
      </w:r>
    </w:p>
    <w:p w14:paraId="1BFC914E" w14:textId="77777777" w:rsidR="000B0251" w:rsidRDefault="000C48A1">
      <w:pPr>
        <w:tabs>
          <w:tab w:val="left" w:pos="3744"/>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Conveyor Idlers and Frames</w:t>
      </w:r>
      <w:r>
        <w:rPr>
          <w:rFonts w:ascii="Arial" w:eastAsia="Arial" w:hAnsi="Arial"/>
          <w:color w:val="000000"/>
          <w:sz w:val="16"/>
        </w:rPr>
        <w:tab/>
        <w:t>Yes</w:t>
      </w:r>
      <w:r>
        <w:rPr>
          <w:rFonts w:ascii="Arial" w:eastAsia="Arial" w:hAnsi="Arial"/>
          <w:color w:val="000000"/>
          <w:sz w:val="16"/>
        </w:rPr>
        <w:tab/>
        <w:t>No</w:t>
      </w:r>
    </w:p>
    <w:p w14:paraId="435F29C3" w14:textId="77777777" w:rsidR="000B0251" w:rsidRDefault="000C48A1">
      <w:pPr>
        <w:tabs>
          <w:tab w:val="left" w:pos="3744"/>
          <w:tab w:val="left" w:pos="5616"/>
        </w:tabs>
        <w:spacing w:before="34" w:line="182" w:lineRule="exact"/>
        <w:textAlignment w:val="baseline"/>
        <w:rPr>
          <w:rFonts w:ascii="Arial" w:eastAsia="Arial" w:hAnsi="Arial"/>
          <w:color w:val="000000"/>
          <w:spacing w:val="-3"/>
          <w:sz w:val="16"/>
        </w:rPr>
      </w:pPr>
      <w:r>
        <w:rPr>
          <w:rFonts w:ascii="Arial" w:eastAsia="Arial" w:hAnsi="Arial"/>
          <w:color w:val="000000"/>
          <w:spacing w:val="-3"/>
          <w:sz w:val="16"/>
        </w:rPr>
        <w:t>Conveyor Pulleys</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34D2022B" w14:textId="77777777" w:rsidR="000B0251" w:rsidRDefault="000C48A1">
      <w:pPr>
        <w:tabs>
          <w:tab w:val="left" w:pos="3744"/>
          <w:tab w:val="left" w:pos="5616"/>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Distributed I/O Boxes</w:t>
      </w:r>
      <w:r>
        <w:rPr>
          <w:rFonts w:ascii="Arial" w:eastAsia="Arial" w:hAnsi="Arial"/>
          <w:color w:val="000000"/>
          <w:spacing w:val="-1"/>
          <w:sz w:val="16"/>
        </w:rPr>
        <w:tab/>
        <w:t>Yes</w:t>
      </w:r>
      <w:r>
        <w:rPr>
          <w:rFonts w:ascii="Arial" w:eastAsia="Arial" w:hAnsi="Arial"/>
          <w:color w:val="000000"/>
          <w:spacing w:val="-1"/>
          <w:sz w:val="16"/>
        </w:rPr>
        <w:tab/>
        <w:t>No</w:t>
      </w:r>
    </w:p>
    <w:p w14:paraId="77AA0DC6" w14:textId="77777777" w:rsidR="000B0251" w:rsidRDefault="000C48A1">
      <w:pPr>
        <w:tabs>
          <w:tab w:val="left" w:pos="3744"/>
          <w:tab w:val="left" w:pos="5616"/>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High Voltage Cables</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51DF632F" w14:textId="77777777" w:rsidR="000B0251" w:rsidRDefault="000C48A1">
      <w:pPr>
        <w:tabs>
          <w:tab w:val="left" w:pos="3744"/>
          <w:tab w:val="left" w:pos="5616"/>
        </w:tabs>
        <w:spacing w:before="64" w:line="208" w:lineRule="exact"/>
        <w:textAlignment w:val="baseline"/>
        <w:rPr>
          <w:rFonts w:ascii="Arial" w:eastAsia="Arial" w:hAnsi="Arial"/>
          <w:color w:val="000000"/>
          <w:spacing w:val="-1"/>
          <w:sz w:val="16"/>
        </w:rPr>
      </w:pPr>
      <w:r>
        <w:rPr>
          <w:rFonts w:ascii="Arial" w:eastAsia="Arial" w:hAnsi="Arial"/>
          <w:color w:val="000000"/>
          <w:spacing w:val="-1"/>
          <w:sz w:val="16"/>
        </w:rPr>
        <w:t>High Voltage Variable Voltage Variable</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1ECDE77" w14:textId="77777777" w:rsidR="000B0251" w:rsidRDefault="000C48A1">
      <w:pPr>
        <w:spacing w:line="170" w:lineRule="exact"/>
        <w:textAlignment w:val="baseline"/>
        <w:rPr>
          <w:rFonts w:ascii="Arial" w:eastAsia="Arial" w:hAnsi="Arial"/>
          <w:color w:val="000000"/>
          <w:spacing w:val="-2"/>
          <w:sz w:val="16"/>
        </w:rPr>
      </w:pPr>
      <w:r>
        <w:rPr>
          <w:rFonts w:ascii="Arial" w:eastAsia="Arial" w:hAnsi="Arial"/>
          <w:color w:val="000000"/>
          <w:spacing w:val="-2"/>
          <w:sz w:val="16"/>
        </w:rPr>
        <w:t>Frequency (VVVF) Drives</w:t>
      </w:r>
    </w:p>
    <w:p w14:paraId="771F2D48" w14:textId="77777777" w:rsidR="000B0251" w:rsidRDefault="000C48A1">
      <w:pPr>
        <w:tabs>
          <w:tab w:val="left" w:pos="3744"/>
          <w:tab w:val="left" w:pos="561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High Voltage Motors</w:t>
      </w:r>
      <w:r>
        <w:rPr>
          <w:rFonts w:ascii="Arial" w:eastAsia="Arial" w:hAnsi="Arial"/>
          <w:color w:val="000000"/>
          <w:spacing w:val="-1"/>
          <w:sz w:val="16"/>
        </w:rPr>
        <w:tab/>
        <w:t>Yes</w:t>
      </w:r>
      <w:r>
        <w:rPr>
          <w:rFonts w:ascii="Arial" w:eastAsia="Arial" w:hAnsi="Arial"/>
          <w:color w:val="000000"/>
          <w:spacing w:val="-1"/>
          <w:sz w:val="16"/>
        </w:rPr>
        <w:tab/>
        <w:t>No</w:t>
      </w:r>
    </w:p>
    <w:p w14:paraId="021909E4" w14:textId="77777777" w:rsidR="000B0251" w:rsidRDefault="000C48A1">
      <w:pPr>
        <w:tabs>
          <w:tab w:val="left" w:pos="3744"/>
          <w:tab w:val="left" w:pos="5616"/>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Isolation Gates</w:t>
      </w:r>
      <w:r>
        <w:rPr>
          <w:rFonts w:ascii="Arial" w:eastAsia="Arial" w:hAnsi="Arial"/>
          <w:color w:val="000000"/>
          <w:spacing w:val="-1"/>
          <w:sz w:val="16"/>
        </w:rPr>
        <w:tab/>
        <w:t>Yes</w:t>
      </w:r>
      <w:r>
        <w:rPr>
          <w:rFonts w:ascii="Arial" w:eastAsia="Arial" w:hAnsi="Arial"/>
          <w:color w:val="000000"/>
          <w:spacing w:val="-1"/>
          <w:sz w:val="16"/>
        </w:rPr>
        <w:tab/>
        <w:t>No</w:t>
      </w:r>
    </w:p>
    <w:p w14:paraId="159D1512" w14:textId="77777777" w:rsidR="000B0251" w:rsidRDefault="000C48A1">
      <w:pPr>
        <w:tabs>
          <w:tab w:val="left" w:pos="3744"/>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Modular Buildings and Facilities</w:t>
      </w:r>
      <w:r>
        <w:rPr>
          <w:rFonts w:ascii="Arial" w:eastAsia="Arial" w:hAnsi="Arial"/>
          <w:color w:val="000000"/>
          <w:sz w:val="16"/>
        </w:rPr>
        <w:tab/>
        <w:t>Yes</w:t>
      </w:r>
      <w:r>
        <w:rPr>
          <w:rFonts w:ascii="Arial" w:eastAsia="Arial" w:hAnsi="Arial"/>
          <w:color w:val="000000"/>
          <w:sz w:val="16"/>
        </w:rPr>
        <w:tab/>
        <w:t>No</w:t>
      </w:r>
    </w:p>
    <w:p w14:paraId="463E1195" w14:textId="77777777" w:rsidR="000B0251" w:rsidRDefault="000C48A1">
      <w:pPr>
        <w:tabs>
          <w:tab w:val="left" w:pos="3744"/>
          <w:tab w:val="left" w:pos="5616"/>
        </w:tabs>
        <w:spacing w:before="64" w:line="208" w:lineRule="exact"/>
        <w:textAlignment w:val="baseline"/>
        <w:rPr>
          <w:rFonts w:ascii="Arial" w:eastAsia="Arial" w:hAnsi="Arial"/>
          <w:color w:val="000000"/>
          <w:sz w:val="16"/>
        </w:rPr>
      </w:pPr>
      <w:r>
        <w:rPr>
          <w:rFonts w:ascii="Arial" w:eastAsia="Arial" w:hAnsi="Arial"/>
          <w:color w:val="000000"/>
          <w:sz w:val="16"/>
        </w:rPr>
        <w:t>Switchboards, Kiosks, Switch Rooms and</w:t>
      </w:r>
      <w:r>
        <w:rPr>
          <w:rFonts w:ascii="Arial" w:eastAsia="Arial" w:hAnsi="Arial"/>
          <w:color w:val="000000"/>
          <w:sz w:val="16"/>
        </w:rPr>
        <w:tab/>
        <w:t>Yes</w:t>
      </w:r>
      <w:r>
        <w:rPr>
          <w:rFonts w:ascii="Arial" w:eastAsia="Arial" w:hAnsi="Arial"/>
          <w:color w:val="000000"/>
          <w:sz w:val="16"/>
        </w:rPr>
        <w:tab/>
        <w:t>No</w:t>
      </w:r>
    </w:p>
    <w:p w14:paraId="56355AE4" w14:textId="77777777" w:rsidR="000B0251" w:rsidRDefault="000C48A1">
      <w:pPr>
        <w:spacing w:line="170" w:lineRule="exact"/>
        <w:textAlignment w:val="baseline"/>
        <w:rPr>
          <w:rFonts w:ascii="Arial" w:eastAsia="Arial" w:hAnsi="Arial"/>
          <w:color w:val="000000"/>
          <w:sz w:val="16"/>
        </w:rPr>
      </w:pPr>
      <w:r>
        <w:rPr>
          <w:rFonts w:ascii="Arial" w:eastAsia="Arial" w:hAnsi="Arial"/>
          <w:color w:val="000000"/>
          <w:sz w:val="16"/>
        </w:rPr>
        <w:t>MCC’s</w:t>
      </w:r>
    </w:p>
    <w:p w14:paraId="57ECCDE5" w14:textId="77777777" w:rsidR="000B0251" w:rsidRDefault="000C48A1">
      <w:pPr>
        <w:tabs>
          <w:tab w:val="left" w:pos="3744"/>
          <w:tab w:val="left" w:pos="561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Tramp Metal Magnet</w:t>
      </w:r>
      <w:r>
        <w:rPr>
          <w:rFonts w:ascii="Arial" w:eastAsia="Arial" w:hAnsi="Arial"/>
          <w:color w:val="000000"/>
          <w:spacing w:val="-1"/>
          <w:sz w:val="16"/>
        </w:rPr>
        <w:tab/>
        <w:t>Yes</w:t>
      </w:r>
      <w:r>
        <w:rPr>
          <w:rFonts w:ascii="Arial" w:eastAsia="Arial" w:hAnsi="Arial"/>
          <w:color w:val="000000"/>
          <w:spacing w:val="-1"/>
          <w:sz w:val="16"/>
        </w:rPr>
        <w:tab/>
        <w:t>No</w:t>
      </w:r>
    </w:p>
    <w:p w14:paraId="32A3A7B4" w14:textId="77777777" w:rsidR="000B0251" w:rsidRDefault="000C48A1">
      <w:pPr>
        <w:tabs>
          <w:tab w:val="left" w:pos="3744"/>
          <w:tab w:val="left" w:pos="5616"/>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Transformers</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4B65723E" w14:textId="77777777" w:rsidR="000B0251" w:rsidRDefault="000C48A1">
      <w:pPr>
        <w:tabs>
          <w:tab w:val="left" w:pos="3744"/>
          <w:tab w:val="left" w:pos="5616"/>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Civil and Earthworks</w:t>
      </w:r>
      <w:r>
        <w:rPr>
          <w:rFonts w:ascii="Arial" w:eastAsia="Arial" w:hAnsi="Arial"/>
          <w:color w:val="000000"/>
          <w:spacing w:val="-1"/>
          <w:sz w:val="16"/>
        </w:rPr>
        <w:tab/>
        <w:t>Yes</w:t>
      </w:r>
      <w:r>
        <w:rPr>
          <w:rFonts w:ascii="Arial" w:eastAsia="Arial" w:hAnsi="Arial"/>
          <w:color w:val="000000"/>
          <w:spacing w:val="-1"/>
          <w:sz w:val="16"/>
        </w:rPr>
        <w:tab/>
        <w:t>No</w:t>
      </w:r>
    </w:p>
    <w:p w14:paraId="0DDC83CD" w14:textId="77777777" w:rsidR="000B0251" w:rsidRDefault="000C48A1">
      <w:pPr>
        <w:tabs>
          <w:tab w:val="left" w:pos="3744"/>
          <w:tab w:val="left" w:pos="5616"/>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Construction Camp</w:t>
      </w:r>
      <w:r>
        <w:rPr>
          <w:rFonts w:ascii="Arial" w:eastAsia="Arial" w:hAnsi="Arial"/>
          <w:color w:val="000000"/>
          <w:spacing w:val="-1"/>
          <w:sz w:val="16"/>
        </w:rPr>
        <w:tab/>
        <w:t>Yes</w:t>
      </w:r>
      <w:r>
        <w:rPr>
          <w:rFonts w:ascii="Arial" w:eastAsia="Arial" w:hAnsi="Arial"/>
          <w:color w:val="000000"/>
          <w:spacing w:val="-1"/>
          <w:sz w:val="16"/>
        </w:rPr>
        <w:tab/>
        <w:t>No</w:t>
      </w:r>
    </w:p>
    <w:p w14:paraId="5FB909B1" w14:textId="77777777" w:rsidR="000B0251" w:rsidRDefault="000C48A1">
      <w:pPr>
        <w:tabs>
          <w:tab w:val="left" w:pos="3744"/>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Construction Camp Operation and Security</w:t>
      </w:r>
      <w:r>
        <w:rPr>
          <w:rFonts w:ascii="Arial" w:eastAsia="Arial" w:hAnsi="Arial"/>
          <w:color w:val="000000"/>
          <w:sz w:val="16"/>
        </w:rPr>
        <w:tab/>
        <w:t>Yes</w:t>
      </w:r>
      <w:r>
        <w:rPr>
          <w:rFonts w:ascii="Arial" w:eastAsia="Arial" w:hAnsi="Arial"/>
          <w:color w:val="000000"/>
          <w:sz w:val="16"/>
        </w:rPr>
        <w:tab/>
        <w:t>No</w:t>
      </w:r>
    </w:p>
    <w:p w14:paraId="58B5AA4F" w14:textId="77777777" w:rsidR="000B0251" w:rsidRDefault="000C48A1">
      <w:pPr>
        <w:tabs>
          <w:tab w:val="left" w:pos="3744"/>
          <w:tab w:val="left" w:pos="5616"/>
        </w:tabs>
        <w:spacing w:before="64" w:line="208" w:lineRule="exact"/>
        <w:textAlignment w:val="baseline"/>
        <w:rPr>
          <w:rFonts w:ascii="Arial" w:eastAsia="Arial" w:hAnsi="Arial"/>
          <w:color w:val="000000"/>
          <w:sz w:val="16"/>
        </w:rPr>
      </w:pPr>
      <w:r>
        <w:rPr>
          <w:rFonts w:ascii="Arial" w:eastAsia="Arial" w:hAnsi="Arial"/>
          <w:color w:val="000000"/>
          <w:sz w:val="16"/>
        </w:rPr>
        <w:t>Structural, mechanical and piping</w:t>
      </w:r>
      <w:r>
        <w:rPr>
          <w:rFonts w:ascii="Arial" w:eastAsia="Arial" w:hAnsi="Arial"/>
          <w:color w:val="000000"/>
          <w:sz w:val="16"/>
        </w:rPr>
        <w:tab/>
        <w:t>Yes</w:t>
      </w:r>
      <w:r>
        <w:rPr>
          <w:rFonts w:ascii="Arial" w:eastAsia="Arial" w:hAnsi="Arial"/>
          <w:color w:val="000000"/>
          <w:sz w:val="16"/>
        </w:rPr>
        <w:tab/>
        <w:t>No</w:t>
      </w:r>
    </w:p>
    <w:p w14:paraId="4C537ED3" w14:textId="77777777" w:rsidR="000B0251" w:rsidRDefault="000C48A1">
      <w:pPr>
        <w:spacing w:line="170" w:lineRule="exact"/>
        <w:textAlignment w:val="baseline"/>
        <w:rPr>
          <w:rFonts w:ascii="Arial" w:eastAsia="Arial" w:hAnsi="Arial"/>
          <w:color w:val="000000"/>
          <w:spacing w:val="-2"/>
          <w:sz w:val="16"/>
        </w:rPr>
      </w:pPr>
      <w:r>
        <w:rPr>
          <w:rFonts w:ascii="Arial" w:eastAsia="Arial" w:hAnsi="Arial"/>
          <w:color w:val="000000"/>
          <w:spacing w:val="-2"/>
          <w:sz w:val="16"/>
        </w:rPr>
        <w:t>construction works</w:t>
      </w:r>
    </w:p>
    <w:p w14:paraId="3A355499" w14:textId="77777777" w:rsidR="000B0251" w:rsidRDefault="000C48A1">
      <w:pPr>
        <w:tabs>
          <w:tab w:val="left" w:pos="3744"/>
          <w:tab w:val="left" w:pos="5616"/>
        </w:tabs>
        <w:spacing w:before="27" w:line="205" w:lineRule="exact"/>
        <w:textAlignment w:val="baseline"/>
        <w:rPr>
          <w:rFonts w:ascii="Arial" w:eastAsia="Arial" w:hAnsi="Arial"/>
          <w:color w:val="000000"/>
          <w:sz w:val="16"/>
        </w:rPr>
      </w:pPr>
      <w:r>
        <w:rPr>
          <w:rFonts w:ascii="Arial" w:eastAsia="Arial" w:hAnsi="Arial"/>
          <w:color w:val="000000"/>
          <w:sz w:val="16"/>
        </w:rPr>
        <w:t>Structural, mechanical, piping, el</w:t>
      </w:r>
      <w:r>
        <w:rPr>
          <w:rFonts w:ascii="Arial" w:eastAsia="Arial" w:hAnsi="Arial"/>
          <w:color w:val="000000"/>
          <w:sz w:val="16"/>
        </w:rPr>
        <w:t>ectrical</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and instrumentation works</w:t>
      </w:r>
    </w:p>
    <w:p w14:paraId="2AFB334C" w14:textId="77777777" w:rsidR="000B0251" w:rsidRDefault="000C48A1">
      <w:pPr>
        <w:tabs>
          <w:tab w:val="left" w:pos="3744"/>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Non-process infrastructure</w:t>
      </w:r>
      <w:r>
        <w:rPr>
          <w:rFonts w:ascii="Arial" w:eastAsia="Arial" w:hAnsi="Arial"/>
          <w:color w:val="000000"/>
          <w:sz w:val="16"/>
        </w:rPr>
        <w:tab/>
        <w:t>Yes</w:t>
      </w:r>
      <w:r>
        <w:rPr>
          <w:rFonts w:ascii="Arial" w:eastAsia="Arial" w:hAnsi="Arial"/>
          <w:color w:val="000000"/>
          <w:sz w:val="16"/>
        </w:rPr>
        <w:tab/>
        <w:t>No</w:t>
      </w:r>
    </w:p>
    <w:p w14:paraId="01EBA98E" w14:textId="77777777" w:rsidR="000B0251" w:rsidRDefault="000C48A1">
      <w:pPr>
        <w:tabs>
          <w:tab w:val="left" w:pos="3744"/>
          <w:tab w:val="left" w:pos="561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33kV Power Supply</w:t>
      </w:r>
      <w:r>
        <w:rPr>
          <w:rFonts w:ascii="Arial" w:eastAsia="Arial" w:hAnsi="Arial"/>
          <w:color w:val="000000"/>
          <w:spacing w:val="-1"/>
          <w:sz w:val="16"/>
        </w:rPr>
        <w:tab/>
        <w:t>Yes</w:t>
      </w:r>
      <w:r>
        <w:rPr>
          <w:rFonts w:ascii="Arial" w:eastAsia="Arial" w:hAnsi="Arial"/>
          <w:color w:val="000000"/>
          <w:spacing w:val="-1"/>
          <w:sz w:val="16"/>
        </w:rPr>
        <w:tab/>
        <w:t>No</w:t>
      </w:r>
    </w:p>
    <w:p w14:paraId="48D44FE1" w14:textId="77777777" w:rsidR="000B0251" w:rsidRDefault="000C48A1">
      <w:pPr>
        <w:tabs>
          <w:tab w:val="left" w:pos="3744"/>
          <w:tab w:val="left" w:pos="561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Offices and accommodation facilities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409336D" w14:textId="77777777" w:rsidR="000B0251" w:rsidRDefault="000C48A1">
      <w:pPr>
        <w:spacing w:before="317" w:line="86" w:lineRule="exact"/>
        <w:textAlignment w:val="baseline"/>
        <w:rPr>
          <w:rFonts w:ascii="Arial" w:eastAsia="Arial" w:hAnsi="Arial"/>
          <w:color w:val="000000"/>
          <w:sz w:val="11"/>
        </w:rPr>
      </w:pPr>
      <w:r>
        <w:rPr>
          <w:rFonts w:ascii="Arial" w:eastAsia="Arial" w:hAnsi="Arial"/>
          <w:color w:val="000000"/>
          <w:sz w:val="11"/>
        </w:rPr>
        <w:t>*</w:t>
      </w:r>
    </w:p>
    <w:p w14:paraId="4006880E" w14:textId="77777777" w:rsidR="000B0251" w:rsidRDefault="000C48A1">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59E6869" w14:textId="77777777" w:rsidR="000B0251" w:rsidRDefault="000C48A1">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3918707E" w14:textId="77777777" w:rsidR="000B0251" w:rsidRDefault="000C48A1">
      <w:pPr>
        <w:spacing w:before="39" w:line="182" w:lineRule="exact"/>
        <w:ind w:left="648"/>
        <w:textAlignment w:val="baseline"/>
        <w:rPr>
          <w:rFonts w:ascii="Arial" w:eastAsia="Arial" w:hAnsi="Arial"/>
          <w:color w:val="000000"/>
          <w:spacing w:val="-6"/>
          <w:sz w:val="16"/>
        </w:rPr>
      </w:pPr>
      <w:r>
        <w:rPr>
          <w:rFonts w:ascii="Arial" w:eastAsia="Arial" w:hAnsi="Arial"/>
          <w:color w:val="000000"/>
          <w:spacing w:val="-6"/>
          <w:sz w:val="16"/>
        </w:rPr>
        <w:t>International</w:t>
      </w:r>
    </w:p>
    <w:p w14:paraId="79A05E46" w14:textId="77777777" w:rsidR="000B0251" w:rsidRDefault="000C48A1">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The Project will predominantly be built to Rio Tinto’s internal Project standards. These standards are based on Australian</w:t>
      </w:r>
    </w:p>
    <w:p w14:paraId="184D8EBB" w14:textId="77777777" w:rsidR="000B0251" w:rsidRDefault="000C48A1">
      <w:pPr>
        <w:spacing w:before="34" w:after="4147" w:line="182" w:lineRule="exact"/>
        <w:ind w:left="648"/>
        <w:textAlignment w:val="baseline"/>
        <w:rPr>
          <w:rFonts w:ascii="Arial" w:eastAsia="Arial" w:hAnsi="Arial"/>
          <w:color w:val="000000"/>
          <w:spacing w:val="-4"/>
          <w:sz w:val="16"/>
        </w:rPr>
      </w:pPr>
      <w:r>
        <w:rPr>
          <w:rFonts w:ascii="Arial" w:eastAsia="Arial" w:hAnsi="Arial"/>
          <w:color w:val="000000"/>
          <w:spacing w:val="-4"/>
          <w:sz w:val="16"/>
        </w:rPr>
        <w:t>Standards and commonly used International Standards.</w:t>
      </w:r>
    </w:p>
    <w:p w14:paraId="7269539A" w14:textId="77777777" w:rsidR="000B0251" w:rsidRDefault="000C48A1">
      <w:pPr>
        <w:spacing w:before="4" w:line="249" w:lineRule="exact"/>
        <w:ind w:right="144"/>
        <w:jc w:val="right"/>
        <w:textAlignment w:val="baseline"/>
        <w:rPr>
          <w:rFonts w:eastAsia="Times New Roman"/>
          <w:color w:val="000000"/>
        </w:rPr>
      </w:pPr>
      <w:r>
        <w:rPr>
          <w:rFonts w:eastAsia="Times New Roman"/>
          <w:color w:val="000000"/>
        </w:rPr>
        <w:t>Page 2 of 3</w:t>
      </w:r>
    </w:p>
    <w:p w14:paraId="4DB93993" w14:textId="77777777" w:rsidR="000B0251" w:rsidRDefault="000B0251">
      <w:pPr>
        <w:sectPr w:rsidR="000B0251">
          <w:pgSz w:w="11904" w:h="16843"/>
          <w:pgMar w:top="1040" w:right="805" w:bottom="867" w:left="1019" w:header="720" w:footer="720" w:gutter="0"/>
          <w:cols w:space="720"/>
        </w:sectPr>
      </w:pPr>
    </w:p>
    <w:p w14:paraId="55E29557" w14:textId="77777777" w:rsidR="000B0251" w:rsidRDefault="000C48A1">
      <w:pPr>
        <w:spacing w:before="3" w:after="818" w:line="183" w:lineRule="exact"/>
        <w:jc w:val="center"/>
        <w:textAlignment w:val="baseline"/>
        <w:rPr>
          <w:rFonts w:eastAsia="Times New Roman"/>
          <w:color w:val="000000"/>
          <w:spacing w:val="-2"/>
          <w:sz w:val="16"/>
        </w:rPr>
      </w:pPr>
      <w:r>
        <w:rPr>
          <w:rFonts w:eastAsia="Times New Roman"/>
          <w:color w:val="000000"/>
          <w:spacing w:val="-2"/>
          <w:sz w:val="16"/>
        </w:rPr>
        <w:lastRenderedPageBreak/>
        <w:t>***** Approved by AIP Authority on Thu May 30 2024 09:41 :58 GMT+ 1000 (AEST) *****</w:t>
      </w:r>
    </w:p>
    <w:p w14:paraId="70881BBF" w14:textId="77777777" w:rsidR="000B0251" w:rsidRDefault="000B0251">
      <w:pPr>
        <w:spacing w:before="3" w:after="818" w:line="183" w:lineRule="exact"/>
        <w:sectPr w:rsidR="000B0251">
          <w:pgSz w:w="11904" w:h="16843"/>
          <w:pgMar w:top="1040" w:right="3014" w:bottom="867" w:left="2770" w:header="720" w:footer="720" w:gutter="0"/>
          <w:cols w:space="720"/>
        </w:sectPr>
      </w:pPr>
    </w:p>
    <w:p w14:paraId="309D52DE" w14:textId="77777777" w:rsidR="000B0251" w:rsidRDefault="000C48A1">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E80D875" w14:textId="77777777" w:rsidR="000B0251" w:rsidRDefault="000C48A1">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4FFCB0C2" w14:textId="77777777" w:rsidR="000B0251" w:rsidRDefault="000C48A1">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Jordannah Harland</w:t>
      </w:r>
    </w:p>
    <w:p w14:paraId="2C15DB6B" w14:textId="77777777" w:rsidR="000B0251" w:rsidRDefault="000C48A1">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Contracts Manager</w:t>
      </w:r>
    </w:p>
    <w:p w14:paraId="5D8F62A6" w14:textId="77777777" w:rsidR="000B0251" w:rsidRDefault="000C48A1">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0893272000</w:t>
      </w:r>
    </w:p>
    <w:p w14:paraId="60C85EC8" w14:textId="77777777" w:rsidR="000B0251" w:rsidRDefault="000C48A1">
      <w:pPr>
        <w:spacing w:before="38"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jordannah.harland@riotinto.com</w:t>
        </w:r>
      </w:hyperlink>
      <w:r>
        <w:rPr>
          <w:rFonts w:ascii="Arial" w:eastAsia="Arial" w:hAnsi="Arial"/>
          <w:color w:val="000000"/>
          <w:spacing w:val="-1"/>
          <w:sz w:val="16"/>
        </w:rPr>
        <w:t xml:space="preserve"> </w:t>
      </w:r>
    </w:p>
    <w:p w14:paraId="01E90EC1" w14:textId="77777777" w:rsidR="000B0251" w:rsidRDefault="000C48A1">
      <w:pPr>
        <w:spacing w:before="198"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Project proponent website: </w:t>
      </w:r>
      <w:hyperlink r:id="rId8">
        <w:r>
          <w:rPr>
            <w:rFonts w:ascii="Arial" w:eastAsia="Arial" w:hAnsi="Arial"/>
            <w:color w:val="0000FF"/>
            <w:spacing w:val="-2"/>
            <w:sz w:val="16"/>
            <w:u w:val="single"/>
          </w:rPr>
          <w:t>https://www.riotinto.com/products/iron-ore</w:t>
        </w:r>
      </w:hyperlink>
      <w:r>
        <w:rPr>
          <w:rFonts w:ascii="Arial" w:eastAsia="Arial" w:hAnsi="Arial"/>
          <w:color w:val="000000"/>
          <w:spacing w:val="-2"/>
          <w:sz w:val="16"/>
        </w:rPr>
        <w:t xml:space="preserve"> </w:t>
      </w:r>
    </w:p>
    <w:p w14:paraId="64E7AB66" w14:textId="77777777" w:rsidR="000B0251" w:rsidRDefault="000C48A1">
      <w:pPr>
        <w:spacing w:before="100" w:line="221" w:lineRule="exact"/>
        <w:ind w:right="72"/>
        <w:textAlignment w:val="baseline"/>
        <w:rPr>
          <w:rFonts w:ascii="Arial" w:eastAsia="Arial" w:hAnsi="Arial"/>
          <w:color w:val="000000"/>
          <w:sz w:val="16"/>
        </w:rPr>
      </w:pPr>
      <w:r>
        <w:rPr>
          <w:rFonts w:ascii="Arial" w:eastAsia="Arial" w:hAnsi="Arial"/>
          <w:color w:val="000000"/>
          <w:sz w:val="16"/>
        </w:rPr>
        <w:t>Project opportunities website: The ICN Project Portal (</w:t>
      </w:r>
      <w:hyperlink r:id="rId9">
        <w:r>
          <w:rPr>
            <w:rFonts w:ascii="Arial" w:eastAsia="Arial" w:hAnsi="Arial"/>
            <w:color w:val="0000FF"/>
            <w:sz w:val="16"/>
            <w:u w:val="single"/>
          </w:rPr>
          <w:t>https://gateway.icn.org.au/project/4141/rio-tinto-iron-ore-projects-western-australia)</w:t>
        </w:r>
      </w:hyperlink>
      <w:r>
        <w:rPr>
          <w:rFonts w:ascii="Arial" w:eastAsia="Arial" w:hAnsi="Arial"/>
          <w:color w:val="000000"/>
          <w:sz w:val="16"/>
        </w:rPr>
        <w:t xml:space="preserve"> will include a Project page, which will be created in Q1.2024. Other selected opportunities will be published on the Rio Tinto Iron Ore Buy Local Platform – https://riotintobuylocal.riotinto.com/</w:t>
      </w:r>
    </w:p>
    <w:p w14:paraId="26A7451F" w14:textId="77777777" w:rsidR="000B0251" w:rsidRDefault="000C48A1">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w:t>
      </w:r>
      <w:r>
        <w:rPr>
          <w:rFonts w:ascii="Arial" w:eastAsia="Arial" w:hAnsi="Arial"/>
          <w:color w:val="000000"/>
          <w:spacing w:val="-4"/>
          <w:sz w:val="16"/>
        </w:rPr>
        <w:t>ion actions :</w:t>
      </w:r>
    </w:p>
    <w:p w14:paraId="7A13714D" w14:textId="77777777" w:rsidR="000B0251" w:rsidRDefault="000C48A1">
      <w:pPr>
        <w:spacing w:before="1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56EE9C45" w14:textId="77777777" w:rsidR="000B0251" w:rsidRDefault="000C48A1">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14:paraId="1AEDE24E" w14:textId="77777777" w:rsidR="000B0251" w:rsidRDefault="000C48A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330F78A5" w14:textId="77777777" w:rsidR="000B0251" w:rsidRDefault="000C48A1">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w:t>
      </w:r>
      <w:r>
        <w:rPr>
          <w:rFonts w:ascii="Arial" w:eastAsia="Arial" w:hAnsi="Arial"/>
          <w:color w:val="000000"/>
          <w:spacing w:val="-4"/>
          <w:sz w:val="16"/>
        </w:rPr>
        <w:t>leases or ASX announcements on project developments and opportunities</w:t>
      </w:r>
    </w:p>
    <w:p w14:paraId="73940F28" w14:textId="77777777" w:rsidR="000B0251" w:rsidRDefault="000C48A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12165ABC" w14:textId="77777777" w:rsidR="000B0251" w:rsidRDefault="000C48A1">
      <w:pPr>
        <w:spacing w:before="468"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EA392AB" w14:textId="77777777" w:rsidR="000B0251" w:rsidRDefault="000C48A1">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43EA90C" w14:textId="77777777" w:rsidR="000B0251" w:rsidRDefault="000C48A1">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52E8262C" w14:textId="77777777" w:rsidR="000B0251" w:rsidRDefault="000C48A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2F0D46A5" w14:textId="77777777" w:rsidR="000B0251" w:rsidRDefault="000C48A1">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2B5BE78F" w14:textId="77777777" w:rsidR="000B0251" w:rsidRDefault="000C48A1">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FCF1497" w14:textId="77777777" w:rsidR="000B0251" w:rsidRDefault="000C48A1">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4655D52C" w14:textId="77777777" w:rsidR="000B0251" w:rsidRDefault="000C48A1">
      <w:pPr>
        <w:spacing w:before="98" w:after="4306" w:line="220" w:lineRule="exact"/>
        <w:ind w:right="216"/>
        <w:textAlignment w:val="baseline"/>
        <w:rPr>
          <w:rFonts w:ascii="Arial" w:eastAsia="Arial" w:hAnsi="Arial"/>
          <w:color w:val="000000"/>
          <w:sz w:val="16"/>
        </w:rPr>
      </w:pPr>
      <w:r>
        <w:rPr>
          <w:rFonts w:ascii="Arial" w:eastAsia="Arial" w:hAnsi="Arial"/>
          <w:color w:val="000000"/>
          <w:sz w:val="16"/>
        </w:rPr>
        <w:t>Feedback sessions will be offered to unsuccessful Australian suppliers. These sessions will provide feedback on all aspect</w:t>
      </w:r>
      <w:r>
        <w:rPr>
          <w:rFonts w:ascii="Arial" w:eastAsia="Arial" w:hAnsi="Arial"/>
          <w:color w:val="000000"/>
          <w:sz w:val="16"/>
        </w:rPr>
        <w:t>s of the tender evaluation process including (where appropriate) recommendations for improvement in future tender submissions. Feedback will be provided in accordance with the Rio Tinto internal procurement and contracts procedure.</w:t>
      </w:r>
    </w:p>
    <w:p w14:paraId="65DFDD9C" w14:textId="77777777" w:rsidR="000B0251" w:rsidRDefault="000B0251">
      <w:pPr>
        <w:spacing w:before="98" w:after="4306" w:line="220" w:lineRule="exact"/>
        <w:sectPr w:rsidR="000B0251">
          <w:type w:val="continuous"/>
          <w:pgSz w:w="11904" w:h="16843"/>
          <w:pgMar w:top="1040" w:right="1502" w:bottom="867" w:left="1042" w:header="720" w:footer="720" w:gutter="0"/>
          <w:cols w:space="720"/>
        </w:sectPr>
      </w:pPr>
    </w:p>
    <w:p w14:paraId="5845A7B3" w14:textId="77777777" w:rsidR="000B0251" w:rsidRDefault="000C48A1">
      <w:pPr>
        <w:spacing w:before="4" w:line="249" w:lineRule="exact"/>
        <w:textAlignment w:val="baseline"/>
        <w:rPr>
          <w:rFonts w:eastAsia="Times New Roman"/>
          <w:color w:val="000000"/>
          <w:spacing w:val="-2"/>
        </w:rPr>
      </w:pPr>
      <w:r>
        <w:rPr>
          <w:rFonts w:eastAsia="Times New Roman"/>
          <w:color w:val="000000"/>
          <w:spacing w:val="-2"/>
        </w:rPr>
        <w:t>Page 3 o</w:t>
      </w:r>
      <w:r>
        <w:rPr>
          <w:rFonts w:eastAsia="Times New Roman"/>
          <w:color w:val="000000"/>
          <w:spacing w:val="-2"/>
        </w:rPr>
        <w:t>f 3</w:t>
      </w:r>
    </w:p>
    <w:sectPr w:rsidR="000B0251">
      <w:type w:val="continuous"/>
      <w:pgSz w:w="11904" w:h="16843"/>
      <w:pgMar w:top="1040" w:right="1018" w:bottom="867" w:left="9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D899" w14:textId="77777777" w:rsidR="000C48A1" w:rsidRDefault="000C48A1">
      <w:r>
        <w:separator/>
      </w:r>
    </w:p>
  </w:endnote>
  <w:endnote w:type="continuationSeparator" w:id="0">
    <w:p w14:paraId="3413C5BC" w14:textId="77777777" w:rsidR="000C48A1" w:rsidRDefault="000C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CFE0" w14:textId="77777777" w:rsidR="000B0251" w:rsidRDefault="000B0251"/>
  </w:footnote>
  <w:footnote w:type="continuationSeparator" w:id="0">
    <w:p w14:paraId="731DD712" w14:textId="77777777" w:rsidR="000B0251" w:rsidRDefault="000C4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1"/>
    <w:rsid w:val="000B0251"/>
    <w:rsid w:val="000C4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31EBFCE"/>
  <w15:docId w15:val="{D5274D5B-761C-42FB-B6B6-E557253D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iotinto.com/products/iron-ore" TargetMode="External"/><Relationship Id="rId3" Type="http://schemas.openxmlformats.org/officeDocument/2006/relationships/webSettings" Target="webSettings.xml"/><Relationship Id="rId7" Type="http://schemas.openxmlformats.org/officeDocument/2006/relationships/hyperlink" Target="mailto:jordannah.harland@riotinto.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ateway.icn.org.au/project/4141/rio-tinto-iron-ore-projects-wester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4714</Characters>
  <Application>Microsoft Office Word</Application>
  <DocSecurity>0</DocSecurity>
  <Lines>39</Lines>
  <Paragraphs>11</Paragraphs>
  <ScaleCrop>false</ScaleCrop>
  <Company>Department of Industry, Innovation and Science</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Swarbrick, Richard</dc:creator>
  <cp:lastModifiedBy>Swarbrick, Richard</cp:lastModifiedBy>
  <cp:revision>2</cp:revision>
  <dcterms:created xsi:type="dcterms:W3CDTF">2024-05-30T07:26:00Z</dcterms:created>
  <dcterms:modified xsi:type="dcterms:W3CDTF">2024-05-30T07:26:00Z</dcterms:modified>
</cp:coreProperties>
</file>