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Mon Aug 26 2024 12:22:19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0" w:line="391" w:lineRule="exact"/>
        <w:ind w:right="0" w:left="0" w:firstLine="0"/>
        <w:jc w:val="center"/>
        <w:textAlignment w:val="baseline"/>
        <w:rPr>
          <w:rFonts w:ascii="Arial" w:hAnsi="Arial" w:eastAsia="Arial"/>
          <w:color w:val="000000"/>
          <w:spacing w:val="6"/>
          <w:w w:val="95"/>
          <w:sz w:val="3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4pt;height:24.65pt;z-index:-1;margin-left:209.3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34" w:left="0"/>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Reference code: </w:t>
      </w:r>
      <w:r>
        <w:rPr>
          <w:rFonts w:ascii="Arial" w:hAnsi="Arial" w:eastAsia="Arial"/>
          <w:color w:val="000000"/>
          <w:spacing w:val="0"/>
          <w:w w:val="100"/>
          <w:sz w:val="26"/>
          <w:vertAlign w:val="baseline"/>
          <w:lang w:val="en-US"/>
        </w:rPr>
        <w:t xml:space="preserve">D2CFGVZN</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GREEN SQUAREDC PTY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SYDGPU1 AI Data Centre</w:t>
      </w:r>
    </w:p>
    <w:p>
      <w:pPr>
        <w:spacing w:before="161" w:after="0" w:line="180"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Location: Sydney</w:t>
      </w:r>
    </w:p>
    <w:p>
      <w:pPr>
        <w:spacing w:before="136"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61"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Upgrade existing facility</w:t>
      </w:r>
    </w:p>
    <w:p>
      <w:pPr>
        <w:spacing w:before="142" w:after="0" w:line="180"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$1 billion - $2 billion</w:t>
      </w:r>
    </w:p>
    <w:p>
      <w:pPr>
        <w:spacing w:before="131"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SYDGPU1 by GreenSquareDCTM Australia's first AI/GPU-enabled hyperscale data centre. Positioned in Sydney's Norwest Business Park, its tailored for high-density GPU computing, supporting AI and big data analytics with superior energy efficiency and sustainabil ity. Strategically located amidst a hub of existing data centres such as Vocus, AMEX, RBA, and CBA, with local fibre networks by Vocus, NextGen, TPG, and Telstra, SYDGPU1 is at the connectivity crossroads, ensuring optimal data transit for all clients. This site provides scalable power infrastructure, SYDGPU 1 offers up to 20MW capacity in its initial phase with future expansion and power capacity to 100MW. Incorporating GreenSquareDCTM's Five Pillars to Sustai nabilityTM, SYDGPU 1 will set a benchmark for eco-friendly data centre design, leveraging renewable energy, water conservation, and removing Diesel Fossil Fuels to minimise carbon footprint. Powered entirely by renewable energy and targeting an ambitious -1.1 PUE, SYDGPU 1 is equipped to offer varied density options from Low Density (- 10kw), to High-Density racks (-50kw), to Ultra High-Density racks (- 100kw), facilitated by cutting-edge cooling solutions like Fan-wall, RDHx, or Direct to Chip Cooling within a 26°C ambient ASHRAE A1 recommended data hall. The first stage, heralding 20MW, is set to go live by late 2025, within a substantially refurbished existing centre, delivering immediate embodied carbon benefits and expedited market entry. Subsequent stages are planned to exceed 100MW, providing hyperscale, Government and wholesale enterprise clients with resilient, secure, and sustainable digital infrastructure solutions not currently available to them in Australia, ensuring our sovereign AI future for high-performance computing, Large Language Model Training, Inference and AI workloads.</w:t>
      </w:r>
    </w:p>
    <w:p>
      <w:pPr>
        <w:spacing w:before="141" w:after="3708" w:line="180"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02 Aug 2027</w:t>
      </w:r>
    </w:p>
    <w:p>
      <w:pPr>
        <w:spacing w:before="141" w:after="3708" w:line="180"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3</w:t>
      </w:r>
    </w:p>
    <w:p>
      <w:pPr>
        <w:sectPr>
          <w:type w:val="continuous"/>
          <w:pgSz w:w="11904" w:h="16843" w:orient="portrait"/>
          <w:pgMar w:bottom="867" w:top="1040" w:right="1018" w:left="9806"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Mon Aug 26 2024 12:22:19 GMT+1000 (AEST) *****</w:t>
      </w:r>
    </w:p>
    <w:p>
      <w:pPr>
        <w:spacing w:before="826" w:after="0" w:line="393"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bl>
      <w:tblPr>
        <w:jc w:val="left"/>
        <w:tblLayout w:type="fixed"/>
        <w:tblCellMar>
          <w:left w:w="0" w:type="dxa"/>
          <w:right w:w="0" w:type="dxa"/>
        </w:tblCellMar>
      </w:tblPr>
      <w:tblGrid>
        <w:gridCol w:w="2211"/>
        <w:gridCol w:w="2047"/>
        <w:gridCol w:w="1673"/>
        <w:gridCol w:w="4149"/>
      </w:tblGrid>
      <w:tr>
        <w:trPr>
          <w:trHeight w:val="628" w:hRule="exact"/>
        </w:trPr>
        <w:tc>
          <w:tcPr>
            <w:tcW w:w="2211" w:type="dxa"/>
            <w:tcBorders>
              <w:top w:val="none"/>
              <w:left w:val="none"/>
              <w:bottom w:val="none"/>
              <w:right w:val="none"/>
            </w:tcBorders>
            <w:textDirection w:val="lrTb"/>
            <w:vAlign w:val="center"/>
          </w:tcPr>
          <w:p>
            <w:pPr>
              <w:spacing w:before="258" w:after="178" w:line="182" w:lineRule="exact"/>
              <w:ind w:right="451" w:left="0" w:firstLine="0"/>
              <w:jc w:val="righ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Key goods and services</w:t>
            </w:r>
          </w:p>
        </w:tc>
        <w:tc>
          <w:tcPr>
            <w:tcW w:w="2047" w:type="dxa"/>
            <w:tcBorders>
              <w:top w:val="none"/>
              <w:left w:val="none"/>
              <w:bottom w:val="none"/>
              <w:right w:val="none"/>
            </w:tcBorders>
            <w:textDirection w:val="lrTb"/>
            <w:vAlign w:val="center"/>
          </w:tcPr>
          <w:p>
            <w:pPr>
              <w:spacing w:before="98" w:after="80" w:line="220" w:lineRule="exact"/>
              <w:ind w:right="0" w:left="216"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3"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4149" w:type="dxa"/>
            <w:tcBorders>
              <w:top w:val="none"/>
              <w:left w:val="none"/>
              <w:bottom w:val="none"/>
              <w:right w:val="none"/>
            </w:tcBorders>
            <w:textDirection w:val="lrTb"/>
            <w:vAlign w:val="center"/>
          </w:tcPr>
          <w:p>
            <w:pPr>
              <w:spacing w:before="101" w:after="77" w:line="220" w:lineRule="exact"/>
              <w:ind w:right="0"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w:t>
              <w:br/>
            </w:r>
            <w:r>
              <w:rPr>
                <w:rFonts w:ascii="Arial" w:hAnsi="Arial" w:eastAsia="Arial"/>
                <w:b w:val="true"/>
                <w:color w:val="000000"/>
                <w:spacing w:val="0"/>
                <w:w w:val="100"/>
                <w:sz w:val="16"/>
                <w:vertAlign w:val="baseline"/>
                <w:lang w:val="en-US"/>
              </w:rPr>
              <w:t xml:space="preserve">Australian entities</w:t>
            </w:r>
          </w:p>
        </w:tc>
      </w:tr>
    </w:tbl>
    <w:p>
      <w:pPr>
        <w:spacing w:before="0" w:after="51" w:line="20" w:lineRule="exact"/>
      </w:pPr>
    </w:p>
    <w:p>
      <w:pPr>
        <w:tabs>
          <w:tab w:val="left" w:leader="none" w:pos="3240"/>
          <w:tab w:val="left" w:leader="none" w:pos="496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Advancing computer hardware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Software and Platforms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496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Networking Equipment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240"/>
          <w:tab w:val="left" w:leader="none" w:pos="496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Sustainable Energy Solutions: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4968"/>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and Infrastructure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4968"/>
        </w:tabs>
        <w:spacing w:before="59" w:after="0" w:line="21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Consultancy and Technical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Support</w:t>
      </w:r>
    </w:p>
    <w:p>
      <w:pPr>
        <w:tabs>
          <w:tab w:val="left" w:leader="none" w:pos="3240"/>
          <w:tab w:val="left" w:leader="none" w:pos="4968"/>
        </w:tabs>
        <w:spacing w:before="3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Training and Development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4968"/>
        </w:tabs>
        <w:spacing w:before="57" w:after="0" w:line="21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Procurement and Supply Chain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Management</w:t>
      </w:r>
    </w:p>
    <w:p>
      <w:pPr>
        <w:tabs>
          <w:tab w:val="left" w:leader="none" w:pos="3240"/>
          <w:tab w:val="left" w:leader="none" w:pos="4968"/>
        </w:tabs>
        <w:spacing w:before="43" w:after="0" w:line="19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Management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Coordination:</w:t>
      </w:r>
    </w:p>
    <w:p>
      <w:pPr>
        <w:spacing w:before="317"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2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5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39" w:after="0" w:line="182" w:lineRule="exact"/>
        <w:ind w:right="0" w:left="64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International</w:t>
      </w:r>
    </w:p>
    <w:p>
      <w:pPr>
        <w:spacing w:before="39"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ISO Compliance ISO 9001 ISO 14001 ISO 27001 ISO 45001 PCI/DSS - Financial SSAE SOC 2 Type I and II SCEC PSPF Zone 4</w:t>
      </w:r>
    </w:p>
    <w:p>
      <w:pPr>
        <w:spacing w:before="39" w:after="0" w:line="182"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or higher Federal Government Strategic Hosting Provider (DTA) DISP Certified - Defence Industry Security Program NABERS 6</w:t>
      </w:r>
    </w:p>
    <w:p>
      <w:pPr>
        <w:spacing w:before="34"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Star Rating LEED Platinum</w:t>
      </w:r>
    </w:p>
    <w:p>
      <w:pPr>
        <w:spacing w:before="472"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4"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Walt Coulston</w:t>
      </w:r>
    </w:p>
    <w:p>
      <w:pPr>
        <w:spacing w:before="34"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Founder &amp; CEO</w:t>
      </w:r>
    </w:p>
    <w:p>
      <w:pPr>
        <w:spacing w:before="38" w:after="0" w:line="182" w:lineRule="exact"/>
        <w:ind w:right="0" w:left="64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0414833930</w:t>
      </w:r>
    </w:p>
    <w:p>
      <w:pPr>
        <w:spacing w:before="39"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walt@greensquaredc.com</w:t>
        </w:r>
      </w:hyperlink>
      <w:r>
        <w:rPr>
          <w:rFonts w:ascii="Arial" w:hAnsi="Arial" w:eastAsia="Arial"/>
          <w:color w:val="000000"/>
          <w:spacing w:val="0"/>
          <w:w w:val="100"/>
          <w:sz w:val="16"/>
          <w:vertAlign w:val="baseline"/>
          <w:lang w:val="en-US"/>
        </w:rPr>
        <w:t xml:space="preserve">
</w:t>
      </w:r>
    </w:p>
    <w:p>
      <w:pPr>
        <w:spacing w:before="49" w:after="0" w:line="33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https://greensquaredc.com/</w:t>
        <w:br/>
      </w:r>
      <w:r>
        <w:rPr>
          <w:rFonts w:ascii="Arial" w:hAnsi="Arial" w:eastAsia="Arial"/>
          <w:color w:val="000000"/>
          <w:spacing w:val="0"/>
          <w:w w:val="100"/>
          <w:sz w:val="16"/>
          <w:vertAlign w:val="baseline"/>
          <w:lang w:val="en-US"/>
        </w:rPr>
        <w:t xml:space="preserve">Project opportunities website: https://greensquaredc.com/</w:t>
        <w:br/>
      </w:r>
      <w:r>
        <w:rPr>
          <w:rFonts w:ascii="Arial" w:hAnsi="Arial" w:eastAsia="Arial"/>
          <w:color w:val="000000"/>
          <w:spacing w:val="0"/>
          <w:w w:val="100"/>
          <w:sz w:val="16"/>
          <w:vertAlign w:val="baseline"/>
          <w:lang w:val="en-US"/>
        </w:rPr>
        <w:t xml:space="preserve">Supplier engagement and communication actions :</w:t>
      </w:r>
    </w:p>
    <w:p>
      <w:pPr>
        <w:spacing w:before="135"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8"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9" w:after="0" w:line="182" w:lineRule="exact"/>
        <w:ind w:right="0" w:left="648"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1608" w:after="0" w:line="249" w:lineRule="exact"/>
        <w:ind w:right="144"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3</w:t>
      </w:r>
    </w:p>
    <w:p>
      <w:pPr>
        <w:sectPr>
          <w:type w:val="nextPage"/>
          <w:pgSz w:w="11904" w:h="16843" w:orient="portrait"/>
          <w:pgMar w:bottom="867" w:top="1040" w:right="805"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Mon Aug 26 2024 12:22:19 GMT+1000 (AEST) *****</w:t>
      </w:r>
    </w:p>
    <w:p>
      <w:pPr>
        <w:spacing w:before="3" w:after="818" w:line="183" w:lineRule="exact"/>
        <w:sectPr>
          <w:type w:val="nextPage"/>
          <w:pgSz w:w="11904" w:h="16843" w:orient="portrait"/>
          <w:pgMar w:bottom="867" w:top="1040" w:right="2986" w:left="2698" w:header="720" w:footer="720"/>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1"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1" w:after="0" w:line="181"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40" w:after="0" w:line="181"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40" w:after="0" w:line="181"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198" w:after="0" w:line="181"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60" w:after="0" w:line="181"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5" w:after="0" w:line="181"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0" w:after="0" w:line="220" w:lineRule="exact"/>
        <w:ind w:right="216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 Recommend suppliers undertake export readiness training or international accreditation Support supplier export and global integration initiatives of industry associations or governments Provide references for high performing suppliers</w:t>
      </w:r>
    </w:p>
    <w:p>
      <w:pPr>
        <w:spacing w:before="198" w:after="0" w:line="181"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13" w:after="6625" w:line="21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To ensure constructive feedback is provided to unsuccessful Australian bidders, we will implement a structured feedback process: Post-Decision Debriefs: We will offer debrief sessions to all unsuccessful bidders, where we'll discuss the strengths and weaknesses of their proposal in detail. These sessions will be conducted in a respectful and professional manner, ensuring that all feedback is constructive and actionable. Written Feedback Summary: Following the debrief, we will provide a written summary of the feedback, highlighting areas for improvement. This summary will include specific recommendations for training, skill enhancement, and capability and capacity development, tailored to each bidder's unique context. Resource and Program Referrals: Alongside feedback, we'll provide information on relevant training programs, workshops, and development initiatives. This could include referrals to industry associations, government programs, or private training providers that can assist in addressing the identified gaps. Continuous Engagement: We will encourage unsuccessful bidders to stay engaged with us for future opportunities, advising them on how to align their offerings more closely with our requirements. This ongoing dialogue will help build their understanding of our procurement needs and standards. By providing detailed and constructive feedback, we aim to help Australian suppliers grow and enhance their competitiveness for future projects, contributing to the overall strengthening of the local industry.</w:t>
      </w:r>
    </w:p>
    <w:p>
      <w:pPr>
        <w:spacing w:before="113" w:after="6625" w:line="219" w:lineRule="exact"/>
        <w:sectPr>
          <w:type w:val="continuous"/>
          <w:pgSz w:w="11904" w:h="16843" w:orient="portrait"/>
          <w:pgMar w:bottom="867" w:top="1040" w:right="161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3</w:t>
      </w:r>
    </w:p>
    <w:sectPr>
      <w:type w:val="continuous"/>
      <w:pgSz w:w="11904" w:h="16843" w:orient="portrait"/>
      <w:pgMar w:bottom="867" w:top="1040" w:right="1018" w:left="9806"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walt@greensquaredc.com"/><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2024-09-11T06:46:18Z</dcterms:created>
  <dcterms:modified xsi:type="dcterms:W3CDTF">2024-09-11T06:46:18Z</dcterms:modified>
</cp:coreProperties>
</file>