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D314" w14:textId="1578E34B" w:rsidR="00224A76" w:rsidRDefault="00DE43B5">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Thu Feb 27 2025 16:06:57 GMT+1</w:t>
      </w:r>
      <w:r>
        <w:rPr>
          <w:rFonts w:eastAsia="Times New Roman"/>
          <w:color w:val="000000"/>
          <w:sz w:val="16"/>
        </w:rPr>
        <w:t>100 (AEDT) *****</w:t>
      </w:r>
    </w:p>
    <w:p w14:paraId="269666A2" w14:textId="77777777" w:rsidR="00224A76" w:rsidRDefault="00224A76">
      <w:pPr>
        <w:spacing w:before="3" w:after="1250" w:line="183" w:lineRule="exact"/>
        <w:sectPr w:rsidR="00224A76">
          <w:pgSz w:w="11904" w:h="16843"/>
          <w:pgMar w:top="1040" w:right="847" w:bottom="867" w:left="557" w:header="720" w:footer="720" w:gutter="0"/>
          <w:cols w:space="720"/>
        </w:sectPr>
      </w:pPr>
    </w:p>
    <w:p w14:paraId="1E46F818" w14:textId="77777777" w:rsidR="00DE43B5" w:rsidRDefault="00DE43B5">
      <w:pPr>
        <w:spacing w:line="391" w:lineRule="exact"/>
        <w:jc w:val="center"/>
        <w:textAlignment w:val="baseline"/>
        <w:rPr>
          <w:rFonts w:ascii="Arial" w:eastAsia="Arial" w:hAnsi="Arial"/>
          <w:color w:val="000000"/>
          <w:spacing w:val="6"/>
          <w:w w:val="95"/>
          <w:sz w:val="34"/>
        </w:rPr>
      </w:pPr>
    </w:p>
    <w:p w14:paraId="0E63607A" w14:textId="77777777" w:rsidR="00DE43B5" w:rsidRDefault="00DE43B5">
      <w:pPr>
        <w:spacing w:line="391" w:lineRule="exact"/>
        <w:jc w:val="center"/>
        <w:textAlignment w:val="baseline"/>
        <w:rPr>
          <w:rFonts w:ascii="Arial" w:eastAsia="Arial" w:hAnsi="Arial"/>
          <w:color w:val="000000"/>
          <w:spacing w:val="6"/>
          <w:w w:val="95"/>
          <w:sz w:val="34"/>
        </w:rPr>
      </w:pPr>
    </w:p>
    <w:p w14:paraId="72EC0973" w14:textId="23A86625" w:rsidR="00224A76" w:rsidRDefault="00DE43B5">
      <w:pPr>
        <w:spacing w:line="391" w:lineRule="exact"/>
        <w:jc w:val="center"/>
        <w:textAlignment w:val="baseline"/>
        <w:rPr>
          <w:rFonts w:ascii="Arial" w:eastAsia="Arial" w:hAnsi="Arial"/>
          <w:color w:val="000000"/>
          <w:spacing w:val="6"/>
          <w:w w:val="95"/>
          <w:sz w:val="34"/>
        </w:rPr>
      </w:pPr>
      <w:r>
        <w:pict w14:anchorId="3583D8E9">
          <v:shapetype id="_x0000_t202" coordsize="21600,21600" o:spt="202" path="m,l,21600r21600,l21600,xe">
            <v:stroke joinstyle="miter"/>
            <v:path gradientshapeok="t" o:connecttype="rect"/>
          </v:shapetype>
          <v:shape id="_x0000_s0" o:spid="_x0000_s1039" type="#_x0000_t202" style="position:absolute;left:0;text-align:left;margin-left:209.3pt;margin-top:124.1pt;width:2in;height:24.65pt;z-index:-251664384;mso-wrap-distance-left:0;mso-wrap-distance-right:0;mso-position-horizontal-relative:page;mso-position-vertical-relative:page" filled="f" stroked="f">
            <v:textbox inset="0,0,0,0">
              <w:txbxContent>
                <w:p w14:paraId="2AE2557F" w14:textId="77777777" w:rsidR="00224A76" w:rsidRDefault="00DE43B5">
                  <w:pPr>
                    <w:spacing w:after="162"/>
                    <w:ind w:right="34"/>
                    <w:textAlignment w:val="baseline"/>
                  </w:pPr>
                  <w:r>
                    <w:rPr>
                      <w:noProof/>
                    </w:rPr>
                    <w:drawing>
                      <wp:inline distT="0" distB="0" distL="0" distR="0" wp14:anchorId="3757135F" wp14:editId="228EEB85">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64336E3F" w14:textId="77777777" w:rsidR="00224A76" w:rsidRDefault="00DE43B5">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24194F44" w14:textId="77777777" w:rsidR="00224A76" w:rsidRDefault="00DE43B5" w:rsidP="00DE43B5">
      <w:pPr>
        <w:spacing w:before="160" w:after="84" w:line="393" w:lineRule="exact"/>
        <w:jc w:val="center"/>
        <w:textAlignment w:val="baseline"/>
        <w:rPr>
          <w:rFonts w:ascii="Arial" w:eastAsia="Arial" w:hAnsi="Arial"/>
          <w:color w:val="000000"/>
          <w:spacing w:val="7"/>
          <w:w w:val="95"/>
          <w:sz w:val="34"/>
        </w:rPr>
      </w:pPr>
      <w:r>
        <w:pict w14:anchorId="1E25307F">
          <v:line id="_x0000_s1038" style="position:absolute;left:0;text-align:left;z-index:25166233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7A029826" w14:textId="77777777" w:rsidR="00224A76" w:rsidRDefault="00DE43B5">
      <w:pPr>
        <w:spacing w:before="123" w:line="183" w:lineRule="exact"/>
        <w:ind w:left="288"/>
        <w:textAlignment w:val="baseline"/>
        <w:rPr>
          <w:rFonts w:ascii="Arial" w:eastAsia="Arial" w:hAnsi="Arial"/>
          <w:b/>
          <w:color w:val="000000"/>
          <w:spacing w:val="-1"/>
          <w:sz w:val="16"/>
        </w:rPr>
      </w:pPr>
      <w:r>
        <w:pict w14:anchorId="13C2476A">
          <v:line id="_x0000_s1037" style="position:absolute;left:0;text-align:left;z-index:251663360;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TUCKEROO BESS PTY LTD</w:t>
      </w:r>
    </w:p>
    <w:p w14:paraId="5093EFB3" w14:textId="77777777" w:rsidR="00224A76" w:rsidRDefault="00DE43B5">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65F96A5" w14:textId="77777777" w:rsidR="00224A76" w:rsidRDefault="00DE43B5">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Tuckeroo Battery</w:t>
      </w:r>
    </w:p>
    <w:p w14:paraId="2C231202" w14:textId="77777777" w:rsidR="00224A76" w:rsidRDefault="00DE43B5">
      <w:pPr>
        <w:spacing w:before="159" w:line="182" w:lineRule="exact"/>
        <w:ind w:left="504"/>
        <w:textAlignment w:val="baseline"/>
        <w:rPr>
          <w:rFonts w:ascii="Arial" w:eastAsia="Arial" w:hAnsi="Arial"/>
          <w:color w:val="000000"/>
          <w:spacing w:val="-6"/>
          <w:sz w:val="16"/>
        </w:rPr>
      </w:pPr>
      <w:r>
        <w:rPr>
          <w:rFonts w:ascii="Arial" w:eastAsia="Arial" w:hAnsi="Arial"/>
          <w:color w:val="000000"/>
          <w:spacing w:val="-6"/>
          <w:sz w:val="16"/>
        </w:rPr>
        <w:t>Location: Lot 1 RP117442 and Lot 32 SP232241, Hopeland, Queensland</w:t>
      </w:r>
    </w:p>
    <w:p w14:paraId="587696F0" w14:textId="77777777" w:rsidR="00224A76" w:rsidRDefault="00DE43B5">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8896893" w14:textId="77777777" w:rsidR="00224A76" w:rsidRDefault="00DE43B5">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A7DC51E" w14:textId="77777777" w:rsidR="00224A76" w:rsidRDefault="00DE43B5">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35FFD116" w14:textId="77777777" w:rsidR="00224A76" w:rsidRDefault="00DE43B5">
      <w:pPr>
        <w:spacing w:before="128"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The Tuckeroo Battery Energy Storage System (BESS) Project aims to construct a grid-forming BESS with a capacity of up to 500 megawatts (MW) and a storage capability of up to 2,000 megawatt-hours (MWh) in Queensland. The project's primary objective is to accelerate the deployment of advanced inverter technology at scale in battery projects. These advanced grid-forming inverters enable batteries to perform critical system functions traditionally handled by synchronous generators like coal or gas.</w:t>
      </w:r>
      <w:r>
        <w:rPr>
          <w:rFonts w:ascii="Arial" w:eastAsia="Arial" w:hAnsi="Arial"/>
          <w:color w:val="000000"/>
          <w:spacing w:val="-4"/>
          <w:sz w:val="16"/>
        </w:rPr>
        <w:t xml:space="preserve"> They are pivotal in supporting future grids capable of operating with 100%renewable energy generation. The grid-forming inverters will be fine-tuned to enhance system stability specifically within Queensland. The anticipated Commercial Operation Date (COD) for the facility is targeted for September 2027. AGL conducted a comprehensive market tendering process for the Project in Q3 2024, receiving responses from various potential BESS and Balance of Plant (BoP) suppliers, both domestic and international. AGL</w:t>
      </w:r>
      <w:r>
        <w:rPr>
          <w:rFonts w:ascii="Arial" w:eastAsia="Arial" w:hAnsi="Arial"/>
          <w:color w:val="000000"/>
          <w:spacing w:val="-4"/>
          <w:sz w:val="16"/>
        </w:rPr>
        <w:t xml:space="preserve"> is currently negotiating the commercial terms with shortlisted suppliers for the BESS and BoP components. The procurement commercial decision will be published once contract finalised and executed. The process is anticipated to be completed in 2025.</w:t>
      </w:r>
    </w:p>
    <w:p w14:paraId="320513E2" w14:textId="77777777" w:rsidR="00224A76" w:rsidRDefault="00DE43B5">
      <w:pPr>
        <w:spacing w:before="140" w:after="4584"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04 Sep 2027</w:t>
      </w:r>
    </w:p>
    <w:p w14:paraId="07D8853E" w14:textId="77777777" w:rsidR="00224A76" w:rsidRDefault="00224A76">
      <w:pPr>
        <w:spacing w:before="140" w:after="4584" w:line="182" w:lineRule="exact"/>
        <w:sectPr w:rsidR="00224A76">
          <w:type w:val="continuous"/>
          <w:pgSz w:w="11904" w:h="16843"/>
          <w:pgMar w:top="1040" w:right="847" w:bottom="867" w:left="557" w:header="720" w:footer="720" w:gutter="0"/>
          <w:cols w:space="720"/>
        </w:sectPr>
      </w:pPr>
    </w:p>
    <w:p w14:paraId="187C6196" w14:textId="77777777" w:rsidR="00224A76" w:rsidRDefault="00DE43B5">
      <w:pPr>
        <w:spacing w:before="4" w:line="249" w:lineRule="exact"/>
        <w:textAlignment w:val="baseline"/>
        <w:rPr>
          <w:rFonts w:eastAsia="Times New Roman"/>
          <w:color w:val="000000"/>
          <w:spacing w:val="-2"/>
        </w:rPr>
      </w:pPr>
      <w:r>
        <w:rPr>
          <w:rFonts w:eastAsia="Times New Roman"/>
          <w:color w:val="000000"/>
          <w:spacing w:val="-2"/>
        </w:rPr>
        <w:t>Page 1 of 5</w:t>
      </w:r>
    </w:p>
    <w:p w14:paraId="76B86499" w14:textId="77777777" w:rsidR="00224A76" w:rsidRDefault="00224A76">
      <w:pPr>
        <w:sectPr w:rsidR="00224A76">
          <w:type w:val="continuous"/>
          <w:pgSz w:w="11904" w:h="16843"/>
          <w:pgMar w:top="1040" w:right="1042" w:bottom="867" w:left="9782" w:header="720" w:footer="720" w:gutter="0"/>
          <w:cols w:space="720"/>
        </w:sectPr>
      </w:pPr>
    </w:p>
    <w:p w14:paraId="1AF828C3" w14:textId="4C4D4E9D" w:rsidR="00224A76" w:rsidRDefault="00DE43B5">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Thu Feb 27 2025 16:06:57 GMT+1</w:t>
      </w:r>
      <w:r>
        <w:rPr>
          <w:rFonts w:eastAsia="Times New Roman"/>
          <w:color w:val="000000"/>
          <w:sz w:val="16"/>
        </w:rPr>
        <w:t>100 (AEDT) *****</w:t>
      </w:r>
    </w:p>
    <w:p w14:paraId="3D4078F6" w14:textId="77777777" w:rsidR="00224A76" w:rsidRDefault="00DE43B5">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D6D5114" w14:textId="77777777" w:rsidR="00224A76" w:rsidRDefault="00DE43B5">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610"/>
        <w:gridCol w:w="2445"/>
        <w:gridCol w:w="1678"/>
        <w:gridCol w:w="3107"/>
      </w:tblGrid>
      <w:tr w:rsidR="00224A76" w14:paraId="1A0E4F9A" w14:textId="77777777">
        <w:tblPrEx>
          <w:tblCellMar>
            <w:top w:w="0" w:type="dxa"/>
            <w:bottom w:w="0" w:type="dxa"/>
          </w:tblCellMar>
        </w:tblPrEx>
        <w:trPr>
          <w:trHeight w:hRule="exact" w:val="628"/>
        </w:trPr>
        <w:tc>
          <w:tcPr>
            <w:tcW w:w="2610" w:type="dxa"/>
            <w:vAlign w:val="center"/>
          </w:tcPr>
          <w:p w14:paraId="15CC52B2" w14:textId="77777777" w:rsidR="00224A76" w:rsidRDefault="00DE43B5">
            <w:pPr>
              <w:spacing w:before="258" w:after="178" w:line="182" w:lineRule="exact"/>
              <w:ind w:right="85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45" w:type="dxa"/>
            <w:vAlign w:val="center"/>
          </w:tcPr>
          <w:p w14:paraId="5A8D35D4" w14:textId="77777777" w:rsidR="00224A76" w:rsidRDefault="00DE43B5">
            <w:pPr>
              <w:spacing w:before="98" w:after="80" w:line="220" w:lineRule="exact"/>
              <w:ind w:left="864"/>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7656E492" w14:textId="77777777" w:rsidR="00224A76" w:rsidRDefault="00DE43B5">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107" w:type="dxa"/>
          </w:tcPr>
          <w:p w14:paraId="7E8BBE14" w14:textId="77777777" w:rsidR="00224A76" w:rsidRDefault="00DE43B5">
            <w:pPr>
              <w:spacing w:before="38"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52080E02" w14:textId="77777777" w:rsidR="00224A76" w:rsidRDefault="00DE43B5">
            <w:pPr>
              <w:spacing w:line="199"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14:paraId="32107780" w14:textId="77777777" w:rsidR="00224A76" w:rsidRDefault="00224A76">
      <w:pPr>
        <w:spacing w:after="51" w:line="20" w:lineRule="exact"/>
      </w:pPr>
    </w:p>
    <w:p w14:paraId="3CC537F3" w14:textId="77777777" w:rsidR="00224A76" w:rsidRDefault="00DE43B5">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Battery Energy Storage System</w:t>
      </w:r>
      <w:r>
        <w:rPr>
          <w:rFonts w:ascii="Arial" w:eastAsia="Arial" w:hAnsi="Arial"/>
          <w:color w:val="000000"/>
          <w:spacing w:val="-1"/>
          <w:sz w:val="16"/>
        </w:rPr>
        <w:tab/>
        <w:t>Yes</w:t>
      </w:r>
      <w:r>
        <w:rPr>
          <w:rFonts w:ascii="Arial" w:eastAsia="Arial" w:hAnsi="Arial"/>
          <w:color w:val="000000"/>
          <w:spacing w:val="-1"/>
          <w:sz w:val="16"/>
        </w:rPr>
        <w:tab/>
        <w:t>Yes</w:t>
      </w:r>
    </w:p>
    <w:p w14:paraId="750045EF" w14:textId="77777777" w:rsidR="00224A76" w:rsidRDefault="00DE43B5">
      <w:pPr>
        <w:tabs>
          <w:tab w:val="left" w:pos="4032"/>
          <w:tab w:val="left" w:pos="5832"/>
        </w:tabs>
        <w:spacing w:before="53" w:line="219" w:lineRule="exact"/>
        <w:textAlignment w:val="baseline"/>
        <w:rPr>
          <w:rFonts w:ascii="Arial" w:eastAsia="Arial" w:hAnsi="Arial"/>
          <w:color w:val="000000"/>
          <w:spacing w:val="-1"/>
          <w:sz w:val="16"/>
        </w:rPr>
      </w:pPr>
      <w:r>
        <w:rPr>
          <w:rFonts w:ascii="Arial" w:eastAsia="Arial" w:hAnsi="Arial"/>
          <w:color w:val="000000"/>
          <w:spacing w:val="-1"/>
          <w:sz w:val="16"/>
        </w:rPr>
        <w:t>High Voltage Transformer supply, onshore</w:t>
      </w:r>
      <w:r>
        <w:rPr>
          <w:rFonts w:ascii="Arial" w:eastAsia="Arial" w:hAnsi="Arial"/>
          <w:color w:val="000000"/>
          <w:spacing w:val="-1"/>
          <w:sz w:val="16"/>
        </w:rPr>
        <w:tab/>
        <w:t>Yes</w:t>
      </w:r>
      <w:r>
        <w:rPr>
          <w:rFonts w:ascii="Arial" w:eastAsia="Arial" w:hAnsi="Arial"/>
          <w:color w:val="000000"/>
          <w:spacing w:val="-1"/>
          <w:sz w:val="16"/>
        </w:rPr>
        <w:tab/>
        <w:t>Yes</w:t>
      </w:r>
    </w:p>
    <w:p w14:paraId="2687C7CE" w14:textId="77777777" w:rsidR="00224A76" w:rsidRDefault="00DE43B5">
      <w:pPr>
        <w:spacing w:after="28" w:line="170" w:lineRule="exact"/>
        <w:textAlignment w:val="baseline"/>
        <w:rPr>
          <w:rFonts w:ascii="Arial" w:eastAsia="Arial" w:hAnsi="Arial"/>
          <w:color w:val="000000"/>
          <w:spacing w:val="-3"/>
          <w:sz w:val="16"/>
        </w:rPr>
      </w:pPr>
      <w:r>
        <w:rPr>
          <w:rFonts w:ascii="Arial" w:eastAsia="Arial" w:hAnsi="Arial"/>
          <w:color w:val="000000"/>
          <w:spacing w:val="-3"/>
          <w:sz w:val="16"/>
        </w:rPr>
        <w:t>transportation, and site installation</w:t>
      </w:r>
    </w:p>
    <w:tbl>
      <w:tblPr>
        <w:tblW w:w="0" w:type="auto"/>
        <w:tblLayout w:type="fixed"/>
        <w:tblCellMar>
          <w:left w:w="0" w:type="dxa"/>
          <w:right w:w="0" w:type="dxa"/>
        </w:tblCellMar>
        <w:tblLook w:val="0000" w:firstRow="0" w:lastRow="0" w:firstColumn="0" w:lastColumn="0" w:noHBand="0" w:noVBand="0"/>
      </w:tblPr>
      <w:tblGrid>
        <w:gridCol w:w="3598"/>
        <w:gridCol w:w="6242"/>
      </w:tblGrid>
      <w:tr w:rsidR="00224A76" w14:paraId="091431A7" w14:textId="77777777">
        <w:tblPrEx>
          <w:tblCellMar>
            <w:top w:w="0" w:type="dxa"/>
            <w:bottom w:w="0" w:type="dxa"/>
          </w:tblCellMar>
        </w:tblPrEx>
        <w:trPr>
          <w:trHeight w:hRule="exact" w:val="1761"/>
        </w:trPr>
        <w:tc>
          <w:tcPr>
            <w:tcW w:w="3598" w:type="dxa"/>
          </w:tcPr>
          <w:p w14:paraId="4208E58E" w14:textId="77777777" w:rsidR="00224A76" w:rsidRDefault="00DE43B5">
            <w:pPr>
              <w:spacing w:line="201" w:lineRule="exact"/>
              <w:ind w:left="72" w:right="756"/>
              <w:textAlignment w:val="baseline"/>
              <w:rPr>
                <w:rFonts w:ascii="Arial" w:eastAsia="Arial" w:hAnsi="Arial"/>
                <w:color w:val="000000"/>
                <w:spacing w:val="-8"/>
                <w:sz w:val="16"/>
              </w:rPr>
            </w:pPr>
            <w:r>
              <w:rPr>
                <w:rFonts w:ascii="Arial" w:eastAsia="Arial" w:hAnsi="Arial"/>
                <w:color w:val="000000"/>
                <w:spacing w:val="-8"/>
                <w:sz w:val="16"/>
              </w:rPr>
              <w:t xml:space="preserve">Balance of Plant Design and Construction, </w:t>
            </w:r>
            <w:r>
              <w:rPr>
                <w:rFonts w:ascii="Arial" w:eastAsia="Arial" w:hAnsi="Arial"/>
                <w:color w:val="000000"/>
                <w:spacing w:val="-8"/>
                <w:sz w:val="16"/>
              </w:rPr>
              <w:t>including HV and LV work installation</w:t>
            </w:r>
          </w:p>
          <w:p w14:paraId="6A5B4982" w14:textId="77777777" w:rsidR="00224A76" w:rsidRDefault="00DE43B5">
            <w:pPr>
              <w:spacing w:line="221" w:lineRule="exact"/>
              <w:ind w:left="72" w:right="468"/>
              <w:textAlignment w:val="baseline"/>
              <w:rPr>
                <w:rFonts w:ascii="Arial" w:eastAsia="Arial" w:hAnsi="Arial"/>
                <w:color w:val="000000"/>
                <w:sz w:val="16"/>
              </w:rPr>
            </w:pPr>
            <w:r>
              <w:rPr>
                <w:rFonts w:ascii="Arial" w:eastAsia="Arial" w:hAnsi="Arial"/>
                <w:color w:val="000000"/>
                <w:sz w:val="16"/>
              </w:rPr>
              <w:t>Balance of Plant Construction Materials Supply for electrical and civil works</w:t>
            </w:r>
          </w:p>
          <w:p w14:paraId="4B1FE0A9" w14:textId="77777777" w:rsidR="00224A76" w:rsidRDefault="00DE43B5">
            <w:pPr>
              <w:spacing w:line="221" w:lineRule="exact"/>
              <w:ind w:left="72" w:right="468"/>
              <w:jc w:val="both"/>
              <w:textAlignment w:val="baseline"/>
              <w:rPr>
                <w:rFonts w:ascii="Arial" w:eastAsia="Arial" w:hAnsi="Arial"/>
                <w:color w:val="000000"/>
                <w:spacing w:val="-4"/>
                <w:sz w:val="16"/>
              </w:rPr>
            </w:pPr>
            <w:r>
              <w:rPr>
                <w:rFonts w:ascii="Arial" w:eastAsia="Arial" w:hAnsi="Arial"/>
                <w:color w:val="000000"/>
                <w:spacing w:val="-4"/>
                <w:sz w:val="16"/>
              </w:rPr>
              <w:t>Supply and Install of Site Temporary Facilities with 95% Australian Steel</w:t>
            </w:r>
          </w:p>
          <w:p w14:paraId="20FA8478" w14:textId="77777777" w:rsidR="00224A76" w:rsidRDefault="00DE43B5">
            <w:pPr>
              <w:spacing w:after="29" w:line="218" w:lineRule="exact"/>
              <w:ind w:left="72"/>
              <w:textAlignment w:val="baseline"/>
              <w:rPr>
                <w:rFonts w:ascii="Arial" w:eastAsia="Arial" w:hAnsi="Arial"/>
                <w:color w:val="000000"/>
                <w:sz w:val="16"/>
              </w:rPr>
            </w:pPr>
            <w:r>
              <w:rPr>
                <w:rFonts w:ascii="Arial" w:eastAsia="Arial" w:hAnsi="Arial"/>
                <w:color w:val="000000"/>
                <w:sz w:val="16"/>
              </w:rPr>
              <w:t xml:space="preserve">Transgrid HV substation design and </w:t>
            </w:r>
            <w:r>
              <w:rPr>
                <w:rFonts w:ascii="Arial" w:eastAsia="Arial" w:hAnsi="Arial"/>
                <w:color w:val="000000"/>
                <w:sz w:val="16"/>
              </w:rPr>
              <w:br/>
              <w:t>construction</w:t>
            </w:r>
          </w:p>
        </w:tc>
        <w:tc>
          <w:tcPr>
            <w:tcW w:w="6242" w:type="dxa"/>
          </w:tcPr>
          <w:p w14:paraId="45B8B79A" w14:textId="44D4E8F3" w:rsidR="00224A76" w:rsidRDefault="00DE43B5">
            <w:pPr>
              <w:tabs>
                <w:tab w:val="left" w:pos="2232"/>
              </w:tabs>
              <w:spacing w:before="101"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t>No</w:t>
            </w:r>
          </w:p>
          <w:p w14:paraId="5A6857C6" w14:textId="365903C9" w:rsidR="00224A76" w:rsidRDefault="00DE43B5">
            <w:pPr>
              <w:tabs>
                <w:tab w:val="left" w:pos="2232"/>
              </w:tabs>
              <w:spacing w:before="260" w:line="182" w:lineRule="exact"/>
              <w:ind w:right="3780"/>
              <w:jc w:val="right"/>
              <w:textAlignment w:val="baseline"/>
              <w:rPr>
                <w:rFonts w:ascii="Arial" w:eastAsia="Arial" w:hAnsi="Arial"/>
                <w:color w:val="000000"/>
                <w:spacing w:val="-18"/>
                <w:w w:val="95"/>
                <w:sz w:val="16"/>
              </w:rPr>
            </w:pPr>
            <w:r>
              <w:rPr>
                <w:rFonts w:ascii="Arial" w:eastAsia="Arial" w:hAnsi="Arial"/>
                <w:color w:val="000000"/>
                <w:spacing w:val="-18"/>
                <w:w w:val="95"/>
                <w:sz w:val="16"/>
              </w:rPr>
              <w:t xml:space="preserve">                 </w:t>
            </w:r>
            <w:r>
              <w:rPr>
                <w:rFonts w:ascii="Arial" w:eastAsia="Arial" w:hAnsi="Arial"/>
                <w:color w:val="000000"/>
                <w:spacing w:val="-18"/>
                <w:w w:val="95"/>
                <w:sz w:val="16"/>
              </w:rPr>
              <w:t>Yes</w:t>
            </w:r>
            <w:r>
              <w:rPr>
                <w:rFonts w:ascii="Arial" w:eastAsia="Arial" w:hAnsi="Arial"/>
                <w:color w:val="000000"/>
                <w:spacing w:val="-18"/>
                <w:w w:val="95"/>
                <w:sz w:val="16"/>
              </w:rPr>
              <w:tab/>
              <w:t>Yes</w:t>
            </w:r>
          </w:p>
          <w:p w14:paraId="6FFC360C" w14:textId="1747354C" w:rsidR="00224A76" w:rsidRDefault="00DE43B5">
            <w:pPr>
              <w:tabs>
                <w:tab w:val="left" w:pos="2232"/>
              </w:tabs>
              <w:spacing w:before="260"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t>No</w:t>
            </w:r>
          </w:p>
          <w:p w14:paraId="39B25283" w14:textId="4B0F9EF0" w:rsidR="00224A76" w:rsidRDefault="00DE43B5">
            <w:pPr>
              <w:tabs>
                <w:tab w:val="left" w:pos="2232"/>
              </w:tabs>
              <w:spacing w:before="254" w:after="149"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t>No</w:t>
            </w:r>
          </w:p>
        </w:tc>
      </w:tr>
    </w:tbl>
    <w:p w14:paraId="66C180C6" w14:textId="77777777" w:rsidR="00224A76" w:rsidRDefault="00DE43B5">
      <w:pPr>
        <w:tabs>
          <w:tab w:val="left" w:pos="4032"/>
          <w:tab w:val="left" w:pos="5832"/>
        </w:tabs>
        <w:spacing w:before="1" w:line="182" w:lineRule="exact"/>
        <w:textAlignment w:val="baseline"/>
        <w:rPr>
          <w:rFonts w:ascii="Arial" w:eastAsia="Arial" w:hAnsi="Arial"/>
          <w:color w:val="000000"/>
          <w:sz w:val="16"/>
        </w:rPr>
      </w:pPr>
      <w:r>
        <w:rPr>
          <w:rFonts w:ascii="Arial" w:eastAsia="Arial" w:hAnsi="Arial"/>
          <w:color w:val="000000"/>
          <w:sz w:val="16"/>
        </w:rPr>
        <w:t>Civil works and buildings</w:t>
      </w:r>
      <w:r>
        <w:rPr>
          <w:rFonts w:ascii="Arial" w:eastAsia="Arial" w:hAnsi="Arial"/>
          <w:color w:val="000000"/>
          <w:sz w:val="16"/>
        </w:rPr>
        <w:tab/>
        <w:t>Yes</w:t>
      </w:r>
      <w:r>
        <w:rPr>
          <w:rFonts w:ascii="Arial" w:eastAsia="Arial" w:hAnsi="Arial"/>
          <w:color w:val="000000"/>
          <w:sz w:val="16"/>
        </w:rPr>
        <w:tab/>
        <w:t>No</w:t>
      </w:r>
    </w:p>
    <w:p w14:paraId="2876131C" w14:textId="77777777" w:rsidR="00224A76" w:rsidRDefault="00DE43B5">
      <w:pPr>
        <w:tabs>
          <w:tab w:val="left" w:pos="4032"/>
          <w:tab w:val="left" w:pos="5832"/>
        </w:tabs>
        <w:spacing w:before="51" w:line="221" w:lineRule="exact"/>
        <w:textAlignment w:val="baseline"/>
        <w:rPr>
          <w:rFonts w:ascii="Arial" w:eastAsia="Arial" w:hAnsi="Arial"/>
          <w:color w:val="000000"/>
          <w:sz w:val="16"/>
        </w:rPr>
      </w:pPr>
      <w:r>
        <w:rPr>
          <w:rFonts w:ascii="Arial" w:eastAsia="Arial" w:hAnsi="Arial"/>
          <w:color w:val="000000"/>
          <w:sz w:val="16"/>
        </w:rPr>
        <w:t>Transmission Line design, construction and</w:t>
      </w:r>
      <w:r>
        <w:rPr>
          <w:rFonts w:ascii="Arial" w:eastAsia="Arial" w:hAnsi="Arial"/>
          <w:color w:val="000000"/>
          <w:sz w:val="16"/>
        </w:rPr>
        <w:tab/>
        <w:t>Yes</w:t>
      </w:r>
      <w:r>
        <w:rPr>
          <w:rFonts w:ascii="Arial" w:eastAsia="Arial" w:hAnsi="Arial"/>
          <w:color w:val="000000"/>
          <w:sz w:val="16"/>
        </w:rPr>
        <w:tab/>
        <w:t>No</w:t>
      </w:r>
    </w:p>
    <w:p w14:paraId="54C7D138" w14:textId="77777777" w:rsidR="00224A76" w:rsidRDefault="00DE43B5">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connection</w:t>
      </w:r>
    </w:p>
    <w:p w14:paraId="10B22617" w14:textId="77777777" w:rsidR="00224A76" w:rsidRDefault="00DE43B5">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1D6C048B" w14:textId="77777777" w:rsidR="00224A76" w:rsidRDefault="00DE43B5">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3F70736" w14:textId="77777777" w:rsidR="00224A76" w:rsidRDefault="00DE43B5">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6DC7DBB" w14:textId="77777777" w:rsidR="00224A76" w:rsidRDefault="00DE43B5">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3D043FB" w14:textId="77777777" w:rsidR="00224A76" w:rsidRDefault="00DE43B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7CCADE1" w14:textId="77777777" w:rsidR="00224A76" w:rsidRDefault="00DE43B5">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Carina Steinbakk</w:t>
      </w:r>
    </w:p>
    <w:p w14:paraId="42376555" w14:textId="77777777" w:rsidR="00224A76" w:rsidRDefault="00DE43B5">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Manager Power Development</w:t>
      </w:r>
    </w:p>
    <w:p w14:paraId="62374A7D" w14:textId="77777777" w:rsidR="00224A76" w:rsidRDefault="00DE43B5">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0402994976</w:t>
      </w:r>
    </w:p>
    <w:p w14:paraId="7E318ABA" w14:textId="77777777" w:rsidR="00224A76" w:rsidRDefault="00DE43B5">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csteinbakk@agl.com.au</w:t>
        </w:r>
      </w:hyperlink>
      <w:r>
        <w:rPr>
          <w:rFonts w:ascii="Arial" w:eastAsia="Arial" w:hAnsi="Arial"/>
          <w:color w:val="000000"/>
          <w:sz w:val="16"/>
        </w:rPr>
        <w:t xml:space="preserve"> </w:t>
      </w:r>
    </w:p>
    <w:p w14:paraId="4DA4024C" w14:textId="77777777" w:rsidR="00224A76" w:rsidRDefault="00DE43B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https://www.agl.com.au/about-agl/operations/queensland-battery?cidi=AGL%7CB1002548</w:t>
        </w:r>
      </w:hyperlink>
      <w:r>
        <w:rPr>
          <w:rFonts w:ascii="Arial" w:eastAsia="Arial" w:hAnsi="Arial"/>
          <w:color w:val="000000"/>
          <w:spacing w:val="-3"/>
          <w:sz w:val="16"/>
        </w:rPr>
        <w:t xml:space="preserve"> </w:t>
      </w:r>
    </w:p>
    <w:p w14:paraId="27F8F9D9" w14:textId="77777777" w:rsidR="00224A76" w:rsidRDefault="00DE43B5">
      <w:pPr>
        <w:spacing w:before="106" w:line="219" w:lineRule="exact"/>
        <w:ind w:right="360"/>
        <w:textAlignment w:val="baseline"/>
        <w:rPr>
          <w:rFonts w:ascii="Arial" w:eastAsia="Arial" w:hAnsi="Arial"/>
          <w:color w:val="000000"/>
          <w:spacing w:val="-4"/>
          <w:sz w:val="16"/>
        </w:rPr>
      </w:pPr>
      <w:r>
        <w:rPr>
          <w:rFonts w:ascii="Arial" w:eastAsia="Arial" w:hAnsi="Arial"/>
          <w:color w:val="000000"/>
          <w:spacing w:val="-4"/>
          <w:sz w:val="16"/>
        </w:rPr>
        <w:t>Project opportunities website: AGL appointed procurement entities will manage the procurement activities for goods and services to this project. AGL will ensure the appointed procurement entities to have publicly accessible website to publish opportunities of supplying key goods and services. In addition, any market suppliers will be able to reach out to AGL or the appointed procurement entities by using the contact details provided on the project website. At this stage, AGL is negotiating contract terms wi</w:t>
      </w:r>
      <w:r>
        <w:rPr>
          <w:rFonts w:ascii="Arial" w:eastAsia="Arial" w:hAnsi="Arial"/>
          <w:color w:val="000000"/>
          <w:spacing w:val="-4"/>
          <w:sz w:val="16"/>
        </w:rPr>
        <w:t>th shortlisted procurement entities therefore ICN Gateway website will be established and delivered by the finalised bidders. ICN Gateway website will be established after the finalised procurement entities complete work design. AGL will keep AIP updated on the progress.</w:t>
      </w:r>
    </w:p>
    <w:p w14:paraId="1595C450" w14:textId="77777777" w:rsidR="00224A76" w:rsidRDefault="00DE43B5">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D98F9AB" w14:textId="77777777" w:rsidR="00224A76" w:rsidRDefault="00DE43B5">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60AEEF55" w14:textId="77777777" w:rsidR="00224A76" w:rsidRDefault="00DE43B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32208465" w14:textId="77777777" w:rsidR="00224A76" w:rsidRDefault="00DE43B5">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2483DB7A" w14:textId="77777777" w:rsidR="00224A76" w:rsidRDefault="00DE43B5">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7187A76A" w14:textId="77777777" w:rsidR="00224A76" w:rsidRDefault="00DE43B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C2E9460" w14:textId="77777777" w:rsidR="00224A76" w:rsidRDefault="00DE43B5">
      <w:pPr>
        <w:spacing w:before="951" w:line="249" w:lineRule="exact"/>
        <w:jc w:val="right"/>
        <w:textAlignment w:val="baseline"/>
        <w:rPr>
          <w:rFonts w:eastAsia="Times New Roman"/>
          <w:color w:val="000000"/>
        </w:rPr>
      </w:pPr>
      <w:r>
        <w:rPr>
          <w:rFonts w:eastAsia="Times New Roman"/>
          <w:color w:val="000000"/>
        </w:rPr>
        <w:t>Page 2 of 5</w:t>
      </w:r>
    </w:p>
    <w:p w14:paraId="21FF2548" w14:textId="77777777" w:rsidR="00224A76" w:rsidRDefault="00224A76">
      <w:pPr>
        <w:sectPr w:rsidR="00224A76">
          <w:pgSz w:w="11904" w:h="16843"/>
          <w:pgMar w:top="1040" w:right="1045" w:bottom="867" w:left="1019" w:header="720" w:footer="720" w:gutter="0"/>
          <w:cols w:space="720"/>
        </w:sectPr>
      </w:pPr>
    </w:p>
    <w:p w14:paraId="5445FF1E" w14:textId="36F97916" w:rsidR="00224A76" w:rsidRDefault="00DE43B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Feb 27 2025 16:06:57 GMT+1</w:t>
      </w:r>
      <w:r>
        <w:rPr>
          <w:rFonts w:eastAsia="Times New Roman"/>
          <w:color w:val="000000"/>
          <w:sz w:val="16"/>
        </w:rPr>
        <w:t>100 (AEDT) *****</w:t>
      </w:r>
    </w:p>
    <w:p w14:paraId="1C58F213" w14:textId="77777777" w:rsidR="00224A76" w:rsidRDefault="00224A76">
      <w:pPr>
        <w:spacing w:before="3" w:after="818" w:line="183" w:lineRule="exact"/>
        <w:sectPr w:rsidR="00224A76">
          <w:pgSz w:w="11904" w:h="16843"/>
          <w:pgMar w:top="1040" w:right="1183" w:bottom="867" w:left="881" w:header="720" w:footer="720" w:gutter="0"/>
          <w:cols w:space="720"/>
        </w:sectPr>
      </w:pPr>
    </w:p>
    <w:p w14:paraId="1B4B8405" w14:textId="77777777" w:rsidR="00224A76" w:rsidRDefault="00DE43B5">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B146160" w14:textId="77777777" w:rsidR="00224A76" w:rsidRDefault="00DE43B5">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7E86423" w14:textId="77777777" w:rsidR="00224A76" w:rsidRDefault="00DE43B5">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t>Provide feedback to suppliers and evaluation their performance</w:t>
      </w:r>
    </w:p>
    <w:p w14:paraId="49565866" w14:textId="77777777" w:rsidR="00224A76" w:rsidRDefault="00DE43B5">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08A180D" w14:textId="77777777" w:rsidR="00224A76" w:rsidRDefault="00DE43B5">
      <w:pPr>
        <w:spacing w:before="125" w:line="216" w:lineRule="exact"/>
        <w:ind w:left="792"/>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1CC959C8" w14:textId="77777777" w:rsidR="00224A76" w:rsidRDefault="00DE43B5">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38603D4" w14:textId="77777777" w:rsidR="00224A76" w:rsidRDefault="00DE43B5">
      <w:pPr>
        <w:spacing w:before="95" w:after="9264" w:line="221" w:lineRule="exact"/>
        <w:ind w:left="144"/>
        <w:textAlignment w:val="baseline"/>
        <w:rPr>
          <w:rFonts w:ascii="Arial" w:eastAsia="Arial" w:hAnsi="Arial"/>
          <w:color w:val="000000"/>
          <w:spacing w:val="-4"/>
          <w:sz w:val="16"/>
        </w:rPr>
      </w:pPr>
      <w:r>
        <w:rPr>
          <w:rFonts w:ascii="Arial" w:eastAsia="Arial" w:hAnsi="Arial"/>
          <w:color w:val="000000"/>
          <w:spacing w:val="-4"/>
          <w:sz w:val="16"/>
        </w:rPr>
        <w:t>AGL procurement department established an evaluation system for bid suppliers and will offer to provide feedback on their skillset, experience and improvement to unsuccessful Australian bidders. This includes an unsuccessful supplier debriefing process, that includes meeting and documented outcomes. With written communication included as part of the process. Moreover AGL will request the appointed procurement entities offer to provide feedback to all unsuccessful bidder as the same protocol.</w:t>
      </w:r>
    </w:p>
    <w:p w14:paraId="774DC25D" w14:textId="77777777" w:rsidR="00224A76" w:rsidRDefault="00224A76">
      <w:pPr>
        <w:spacing w:before="95" w:after="9264" w:line="221" w:lineRule="exact"/>
        <w:sectPr w:rsidR="00224A76">
          <w:type w:val="continuous"/>
          <w:pgSz w:w="11904" w:h="16843"/>
          <w:pgMar w:top="1040" w:right="1598" w:bottom="867" w:left="881" w:header="720" w:footer="720" w:gutter="0"/>
          <w:cols w:space="720"/>
        </w:sectPr>
      </w:pPr>
    </w:p>
    <w:p w14:paraId="7D266EC8" w14:textId="77777777" w:rsidR="00224A76" w:rsidRDefault="00DE43B5">
      <w:pPr>
        <w:spacing w:before="4" w:line="249" w:lineRule="exact"/>
        <w:textAlignment w:val="baseline"/>
        <w:rPr>
          <w:rFonts w:eastAsia="Times New Roman"/>
          <w:color w:val="000000"/>
          <w:spacing w:val="-2"/>
        </w:rPr>
      </w:pPr>
      <w:r>
        <w:rPr>
          <w:rFonts w:eastAsia="Times New Roman"/>
          <w:color w:val="000000"/>
          <w:spacing w:val="-2"/>
        </w:rPr>
        <w:t>Page 3 of 5</w:t>
      </w:r>
    </w:p>
    <w:p w14:paraId="4674D861" w14:textId="77777777" w:rsidR="00224A76" w:rsidRDefault="00224A76">
      <w:pPr>
        <w:sectPr w:rsidR="00224A76">
          <w:type w:val="continuous"/>
          <w:pgSz w:w="11904" w:h="16843"/>
          <w:pgMar w:top="1040" w:right="1042" w:bottom="867" w:left="9782" w:header="720" w:footer="720" w:gutter="0"/>
          <w:cols w:space="720"/>
        </w:sectPr>
      </w:pPr>
    </w:p>
    <w:p w14:paraId="0B9DE678" w14:textId="77777777" w:rsidR="00224A76" w:rsidRDefault="00DE43B5">
      <w:pPr>
        <w:textAlignment w:val="baseline"/>
        <w:rPr>
          <w:rFonts w:eastAsia="Times New Roman"/>
          <w:color w:val="000000"/>
          <w:sz w:val="24"/>
        </w:rPr>
      </w:pPr>
      <w:r>
        <w:lastRenderedPageBreak/>
        <w:pict w14:anchorId="1F3A67BB">
          <v:shape id="_x0000_s1036" type="#_x0000_t202" style="position:absolute;margin-left:51.6pt;margin-top:335.05pt;width:434.65pt;height:34pt;z-index:-251663360;mso-wrap-distance-left:0;mso-wrap-distance-right:0;mso-position-horizontal-relative:page;mso-position-vertical-relative:page" filled="f" stroked="f">
            <v:textbox inset="0,0,0,0">
              <w:txbxContent>
                <w:p w14:paraId="5C75729A" w14:textId="77777777" w:rsidR="00DE43B5" w:rsidRDefault="00DE43B5"/>
              </w:txbxContent>
            </v:textbox>
            <w10:wrap type="square" anchorx="page" anchory="page"/>
          </v:shape>
        </w:pict>
      </w:r>
      <w:r>
        <w:pict w14:anchorId="1EAA2995">
          <v:shape id="_x0000_s1035" type="#_x0000_t202" style="position:absolute;margin-left:54.45pt;margin-top:52pt;width:471.25pt;height:52.85pt;z-index:-251662336;mso-wrap-distance-left:0;mso-wrap-distance-right:0;mso-position-horizontal-relative:page;mso-position-vertical-relative:page" filled="f" stroked="f">
            <v:textbox inset="0,0,0,0">
              <w:txbxContent>
                <w:p w14:paraId="277BCF0E" w14:textId="1BA70D6C" w:rsidR="00224A76" w:rsidRDefault="00DE43B5">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Thu Feb 27 2025 16:06:57 GMT+1</w:t>
                  </w:r>
                  <w:r>
                    <w:rPr>
                      <w:rFonts w:eastAsia="Times New Roman"/>
                      <w:color w:val="000000"/>
                      <w:sz w:val="16"/>
                    </w:rPr>
                    <w:t>100 (AEDT) *****</w:t>
                  </w:r>
                </w:p>
              </w:txbxContent>
            </v:textbox>
            <w10:wrap type="square" anchorx="page" anchory="page"/>
          </v:shape>
        </w:pict>
      </w:r>
      <w:r>
        <w:pict w14:anchorId="0109F8E6">
          <v:shape id="_x0000_s1034" type="#_x0000_t202" style="position:absolute;margin-left:43.9pt;margin-top:104.85pt;width:7in;height:43.05pt;z-index:-251661312;mso-wrap-distance-left:0;mso-wrap-distance-right:0;mso-position-horizontal-relative:page;mso-position-vertical-relative:page" filled="f" stroked="f">
            <v:textbox inset="0,0,0,0">
              <w:txbxContent>
                <w:p w14:paraId="7F50D540" w14:textId="77777777" w:rsidR="00224A76" w:rsidRDefault="00DE43B5">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69E32C5">
          <v:shape id="_x0000_s1033" type="#_x0000_t202" style="position:absolute;margin-left:43.9pt;margin-top:147.9pt;width:7in;height:187.15pt;z-index:251651072;mso-wrap-distance-left:0;mso-wrap-distance-right:0;mso-position-horizontal-relative:page;mso-position-vertical-relative:page" filled="f" stroked="f">
            <v:textbox inset="0,0,0,0">
              <w:txbxContent>
                <w:p w14:paraId="5B920A98" w14:textId="77777777" w:rsidR="00224A76" w:rsidRDefault="00DE43B5">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AGL ENERGY LIMITED</w:t>
                  </w:r>
                </w:p>
                <w:p w14:paraId="0CAD46BC" w14:textId="77777777" w:rsidR="00224A76" w:rsidRDefault="00DE43B5">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E7F41C8" w14:textId="77777777" w:rsidR="00224A76" w:rsidRDefault="00DE43B5">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Tuckeroo Battery</w:t>
                  </w:r>
                </w:p>
                <w:p w14:paraId="230B8B4C" w14:textId="77777777" w:rsidR="00224A76" w:rsidRDefault="00DE43B5">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Location: Lot 1 RP117442 and Lot 32 SP232241, Hopeland, Queensland</w:t>
                  </w:r>
                </w:p>
                <w:p w14:paraId="0CEB9CFB" w14:textId="77777777" w:rsidR="00224A76" w:rsidRDefault="00DE43B5">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45F20FC4" w14:textId="77777777" w:rsidR="00224A76" w:rsidRDefault="00DE43B5">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7253B016" w14:textId="77777777" w:rsidR="00224A76" w:rsidRDefault="00DE43B5">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E0E97A5">
          <v:shape id="_x0000_s1032" type="#_x0000_t202" style="position:absolute;margin-left:179.2pt;margin-top:335.05pt;width:71.1pt;height:16.1pt;z-index:-251660288;mso-wrap-distance-left:0;mso-wrap-distance-right:0;mso-position-horizontal-relative:page;mso-position-vertical-relative:page" filled="f" stroked="f">
            <v:textbox inset="0,0,0,0">
              <w:txbxContent>
                <w:p w14:paraId="359A169B" w14:textId="77777777" w:rsidR="00224A76" w:rsidRDefault="00DE43B5">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00DC5F80">
          <v:shape id="_x0000_s1031" type="#_x0000_t202" style="position:absolute;margin-left:179.2pt;margin-top:351.15pt;width:71.1pt;height:17pt;z-index:-251659264;mso-wrap-distance-left:0;mso-wrap-distance-right:0;mso-position-horizontal-relative:page;mso-position-vertical-relative:page" filled="f" stroked="f">
            <v:textbox inset="0,0,0,0">
              <w:txbxContent>
                <w:p w14:paraId="15A99E9B" w14:textId="77777777" w:rsidR="00224A76" w:rsidRDefault="00DE43B5">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21485AB6">
          <v:shape id="_x0000_s1030" type="#_x0000_t202" style="position:absolute;margin-left:270.7pt;margin-top:335.05pt;width:65.05pt;height:33.1pt;z-index:-251658240;mso-wrap-distance-left:0;mso-wrap-distance-right:0;mso-position-horizontal-relative:page;mso-position-vertical-relative:page" filled="f" stroked="f">
            <v:textbox inset="0,0,0,0">
              <w:txbxContent>
                <w:p w14:paraId="6DE22D87" w14:textId="77777777" w:rsidR="00224A76" w:rsidRDefault="00DE43B5">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6FCCCE35">
          <v:shape id="_x0000_s1029" type="#_x0000_t202" style="position:absolute;margin-left:351.1pt;margin-top:335.05pt;width:135.15pt;height:33.1pt;z-index:-251657216;mso-wrap-distance-left:0;mso-wrap-distance-right:0;mso-position-horizontal-relative:page;mso-position-vertical-relative:page" filled="f" stroked="f">
            <v:textbox inset="0,0,0,0">
              <w:txbxContent>
                <w:p w14:paraId="398B08B4" w14:textId="77777777" w:rsidR="00224A76" w:rsidRDefault="00DE43B5">
                  <w:pPr>
                    <w:spacing w:before="100" w:after="115"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1F0FC7A5">
          <v:shape id="_x0000_s1028" type="#_x0000_t202" style="position:absolute;margin-left:51.6pt;margin-top:335.05pt;width:87.6pt;height:33.1pt;z-index:-251656192;mso-wrap-distance-left:0;mso-wrap-distance-right:0;mso-position-horizontal-relative:page;mso-position-vertical-relative:page" filled="f" stroked="f">
            <v:textbox inset="0,0,0,0">
              <w:txbxContent>
                <w:p w14:paraId="2C4CBF7B" w14:textId="77777777" w:rsidR="00224A76" w:rsidRDefault="00DE43B5">
                  <w:pPr>
                    <w:spacing w:before="259" w:after="216" w:line="182" w:lineRule="exact"/>
                    <w:jc w:val="right"/>
                    <w:textAlignment w:val="baseline"/>
                    <w:rPr>
                      <w:rFonts w:ascii="Arial" w:eastAsia="Arial" w:hAnsi="Arial"/>
                      <w:b/>
                      <w:color w:val="000000"/>
                      <w:w w:val="90"/>
                      <w:sz w:val="16"/>
                    </w:rPr>
                  </w:pPr>
                  <w:r>
                    <w:rPr>
                      <w:rFonts w:ascii="Arial" w:eastAsia="Arial" w:hAnsi="Arial"/>
                      <w:b/>
                      <w:color w:val="000000"/>
                      <w:w w:val="90"/>
                      <w:sz w:val="16"/>
                    </w:rPr>
                    <w:t>Key goods and services</w:t>
                  </w:r>
                </w:p>
              </w:txbxContent>
            </v:textbox>
            <w10:wrap type="square" anchorx="page" anchory="page"/>
          </v:shape>
        </w:pict>
      </w:r>
      <w:r>
        <w:pict w14:anchorId="3B6AD4E4">
          <v:shape id="_x0000_s1027" type="#_x0000_t202" style="position:absolute;margin-left:51.6pt;margin-top:370.05pt;width:496.3pt;height:408.95pt;z-index:-251655168;mso-wrap-distance-left:0;mso-wrap-distance-right:0;mso-position-horizontal-relative:page;mso-position-vertical-relative:page" filled="f" stroked="f">
            <v:textbox inset="0,0,0,0">
              <w:txbxContent>
                <w:p w14:paraId="07572033" w14:textId="77777777" w:rsidR="00224A76" w:rsidRDefault="00DE43B5">
                  <w:pPr>
                    <w:tabs>
                      <w:tab w:val="left" w:pos="3096"/>
                      <w:tab w:val="left" w:pos="4968"/>
                    </w:tabs>
                    <w:spacing w:before="17" w:line="212" w:lineRule="exact"/>
                    <w:ind w:right="36"/>
                    <w:textAlignment w:val="baseline"/>
                    <w:rPr>
                      <w:rFonts w:ascii="Arial" w:eastAsia="Arial" w:hAnsi="Arial"/>
                      <w:color w:val="000000"/>
                      <w:sz w:val="16"/>
                    </w:rPr>
                  </w:pPr>
                  <w:r>
                    <w:rPr>
                      <w:rFonts w:ascii="Arial" w:eastAsia="Arial" w:hAnsi="Arial"/>
                      <w:color w:val="000000"/>
                      <w:sz w:val="16"/>
                    </w:rPr>
                    <w:t>Service and Maintenance the</w:t>
                  </w:r>
                  <w:r>
                    <w:rPr>
                      <w:rFonts w:ascii="Arial" w:eastAsia="Arial" w:hAnsi="Arial"/>
                      <w:color w:val="000000"/>
                      <w:sz w:val="16"/>
                    </w:rPr>
                    <w:tab/>
                    <w:t>Yes</w:t>
                  </w:r>
                  <w:r>
                    <w:rPr>
                      <w:rFonts w:ascii="Arial" w:eastAsia="Arial" w:hAnsi="Arial"/>
                      <w:color w:val="000000"/>
                      <w:sz w:val="16"/>
                    </w:rPr>
                    <w:tab/>
                    <w:t>No</w:t>
                  </w:r>
                </w:p>
                <w:p w14:paraId="347AF2D6" w14:textId="77777777" w:rsidR="00224A76" w:rsidRDefault="00DE43B5">
                  <w:pPr>
                    <w:spacing w:line="170" w:lineRule="exact"/>
                    <w:ind w:right="36"/>
                    <w:textAlignment w:val="baseline"/>
                    <w:rPr>
                      <w:rFonts w:ascii="Arial" w:eastAsia="Arial" w:hAnsi="Arial"/>
                      <w:color w:val="000000"/>
                      <w:spacing w:val="-3"/>
                      <w:sz w:val="16"/>
                    </w:rPr>
                  </w:pPr>
                  <w:r>
                    <w:rPr>
                      <w:rFonts w:ascii="Arial" w:eastAsia="Arial" w:hAnsi="Arial"/>
                      <w:color w:val="000000"/>
                      <w:spacing w:val="-3"/>
                      <w:sz w:val="16"/>
                    </w:rPr>
                    <w:t>BESS facility</w:t>
                  </w:r>
                </w:p>
                <w:p w14:paraId="6BC2B8F5" w14:textId="77777777" w:rsidR="00224A76" w:rsidRDefault="00DE43B5">
                  <w:pPr>
                    <w:tabs>
                      <w:tab w:val="left" w:pos="3096"/>
                      <w:tab w:val="left" w:pos="4968"/>
                    </w:tabs>
                    <w:spacing w:before="38" w:line="182" w:lineRule="exact"/>
                    <w:ind w:right="36"/>
                    <w:textAlignment w:val="baseline"/>
                    <w:rPr>
                      <w:rFonts w:ascii="Arial" w:eastAsia="Arial" w:hAnsi="Arial"/>
                      <w:color w:val="000000"/>
                      <w:sz w:val="16"/>
                    </w:rPr>
                  </w:pPr>
                  <w:r>
                    <w:rPr>
                      <w:rFonts w:ascii="Arial" w:eastAsia="Arial" w:hAnsi="Arial"/>
                      <w:color w:val="000000"/>
                      <w:sz w:val="16"/>
                    </w:rPr>
                    <w:t>Connection asset maintenance</w:t>
                  </w:r>
                  <w:r>
                    <w:rPr>
                      <w:rFonts w:ascii="Arial" w:eastAsia="Arial" w:hAnsi="Arial"/>
                      <w:color w:val="000000"/>
                      <w:sz w:val="16"/>
                    </w:rPr>
                    <w:tab/>
                    <w:t>Yes</w:t>
                  </w:r>
                  <w:r>
                    <w:rPr>
                      <w:rFonts w:ascii="Arial" w:eastAsia="Arial" w:hAnsi="Arial"/>
                      <w:color w:val="000000"/>
                      <w:sz w:val="16"/>
                    </w:rPr>
                    <w:tab/>
                    <w:t>No</w:t>
                  </w:r>
                </w:p>
                <w:p w14:paraId="283E7834" w14:textId="77777777" w:rsidR="00224A76" w:rsidRDefault="00DE43B5">
                  <w:pPr>
                    <w:spacing w:before="198" w:line="343" w:lineRule="exact"/>
                    <w:ind w:right="36"/>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F963DA0" w14:textId="77777777" w:rsidR="00224A76" w:rsidRDefault="00DE43B5">
                  <w:pPr>
                    <w:spacing w:before="95" w:line="221" w:lineRule="exact"/>
                    <w:ind w:left="576" w:right="3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1C7220E" w14:textId="77777777" w:rsidR="00224A76" w:rsidRDefault="00DE43B5">
                  <w:pPr>
                    <w:spacing w:before="473" w:line="393" w:lineRule="exact"/>
                    <w:ind w:right="3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F72418A" w14:textId="77777777" w:rsidR="00224A76" w:rsidRDefault="00DE43B5">
                  <w:pPr>
                    <w:spacing w:before="354" w:line="182" w:lineRule="exact"/>
                    <w:ind w:right="36"/>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D49056E" w14:textId="77777777" w:rsidR="00224A76" w:rsidRDefault="00DE43B5">
                  <w:pPr>
                    <w:spacing w:before="159" w:line="182" w:lineRule="exact"/>
                    <w:ind w:left="216" w:right="36"/>
                    <w:textAlignment w:val="baseline"/>
                    <w:rPr>
                      <w:rFonts w:ascii="Arial" w:eastAsia="Arial" w:hAnsi="Arial"/>
                      <w:b/>
                      <w:color w:val="000000"/>
                      <w:spacing w:val="6"/>
                      <w:w w:val="90"/>
                      <w:sz w:val="16"/>
                    </w:rPr>
                  </w:pPr>
                  <w:r>
                    <w:rPr>
                      <w:rFonts w:ascii="Arial" w:eastAsia="Arial" w:hAnsi="Arial"/>
                      <w:b/>
                      <w:color w:val="000000"/>
                      <w:spacing w:val="6"/>
                      <w:w w:val="90"/>
                      <w:sz w:val="16"/>
                    </w:rPr>
                    <w:t xml:space="preserve">Contact person name </w:t>
                  </w:r>
                  <w:r>
                    <w:rPr>
                      <w:rFonts w:ascii="Arial" w:eastAsia="Arial" w:hAnsi="Arial"/>
                      <w:color w:val="000000"/>
                      <w:spacing w:val="6"/>
                      <w:sz w:val="16"/>
                    </w:rPr>
                    <w:t>David Bowly</w:t>
                  </w:r>
                </w:p>
                <w:p w14:paraId="65620C93" w14:textId="77777777" w:rsidR="00224A76" w:rsidRDefault="00DE43B5">
                  <w:pPr>
                    <w:spacing w:line="218" w:lineRule="exact"/>
                    <w:ind w:left="720" w:right="36" w:hanging="720"/>
                    <w:textAlignment w:val="baseline"/>
                    <w:rPr>
                      <w:rFonts w:ascii="Arial" w:eastAsia="Arial" w:hAnsi="Arial"/>
                      <w:b/>
                      <w:color w:val="000000"/>
                      <w:w w:val="90"/>
                      <w:sz w:val="16"/>
                    </w:rPr>
                  </w:pPr>
                  <w:r>
                    <w:rPr>
                      <w:rFonts w:ascii="Arial" w:eastAsia="Arial" w:hAnsi="Arial"/>
                      <w:b/>
                      <w:color w:val="000000"/>
                      <w:w w:val="90"/>
                      <w:sz w:val="16"/>
                    </w:rPr>
                    <w:t xml:space="preserve">Contact person position </w:t>
                  </w:r>
                  <w:r>
                    <w:rPr>
                      <w:rFonts w:ascii="Arial" w:eastAsia="Arial" w:hAnsi="Arial"/>
                      <w:color w:val="000000"/>
                      <w:sz w:val="16"/>
                    </w:rPr>
                    <w:t xml:space="preserve">Operation Manager </w:t>
                  </w:r>
                  <w:r>
                    <w:rPr>
                      <w:rFonts w:ascii="Arial" w:eastAsia="Arial" w:hAnsi="Arial"/>
                      <w:color w:val="000000"/>
                      <w:sz w:val="16"/>
                    </w:rPr>
                    <w:br/>
                  </w:r>
                  <w:r>
                    <w:rPr>
                      <w:rFonts w:ascii="Arial" w:eastAsia="Arial" w:hAnsi="Arial"/>
                      <w:b/>
                      <w:color w:val="000000"/>
                      <w:w w:val="90"/>
                      <w:sz w:val="16"/>
                    </w:rPr>
                    <w:t xml:space="preserve">Phone number </w:t>
                  </w:r>
                  <w:r>
                    <w:rPr>
                      <w:rFonts w:ascii="Arial" w:eastAsia="Arial" w:hAnsi="Arial"/>
                      <w:color w:val="000000"/>
                      <w:sz w:val="16"/>
                    </w:rPr>
                    <w:t>0434698983</w:t>
                  </w:r>
                </w:p>
                <w:p w14:paraId="7D894568" w14:textId="77777777" w:rsidR="00224A76" w:rsidRDefault="00DE43B5">
                  <w:pPr>
                    <w:spacing w:before="39" w:line="182" w:lineRule="exact"/>
                    <w:ind w:left="1368" w:right="36"/>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9">
                    <w:r>
                      <w:rPr>
                        <w:rFonts w:ascii="Arial" w:eastAsia="Arial" w:hAnsi="Arial"/>
                        <w:color w:val="0000FF"/>
                        <w:sz w:val="16"/>
                        <w:u w:val="single"/>
                      </w:rPr>
                      <w:t>dbowly@agl.com.au</w:t>
                    </w:r>
                  </w:hyperlink>
                  <w:r>
                    <w:rPr>
                      <w:rFonts w:ascii="Arial" w:eastAsia="Arial" w:hAnsi="Arial"/>
                      <w:color w:val="000000"/>
                      <w:sz w:val="16"/>
                    </w:rPr>
                    <w:t xml:space="preserve"> </w:t>
                  </w:r>
                </w:p>
                <w:p w14:paraId="1638971A" w14:textId="77777777" w:rsidR="00224A76" w:rsidRDefault="00DE43B5">
                  <w:pPr>
                    <w:spacing w:before="197" w:line="182" w:lineRule="exact"/>
                    <w:ind w:right="36"/>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0">
                    <w:r>
                      <w:rPr>
                        <w:rFonts w:ascii="Arial" w:eastAsia="Arial" w:hAnsi="Arial"/>
                        <w:color w:val="0000FF"/>
                        <w:spacing w:val="-3"/>
                        <w:sz w:val="16"/>
                        <w:u w:val="single"/>
                      </w:rPr>
                      <w:t>agl.com.au</w:t>
                    </w:r>
                  </w:hyperlink>
                  <w:r>
                    <w:rPr>
                      <w:rFonts w:ascii="Arial" w:eastAsia="Arial" w:hAnsi="Arial"/>
                      <w:color w:val="000000"/>
                      <w:spacing w:val="-3"/>
                      <w:sz w:val="16"/>
                    </w:rPr>
                    <w:t xml:space="preserve"> </w:t>
                  </w:r>
                </w:p>
                <w:p w14:paraId="14097EB7" w14:textId="77777777" w:rsidR="00224A76" w:rsidRDefault="00DE43B5">
                  <w:pPr>
                    <w:spacing w:before="101" w:line="221" w:lineRule="exact"/>
                    <w:ind w:right="864"/>
                    <w:jc w:val="both"/>
                    <w:textAlignment w:val="baseline"/>
                    <w:rPr>
                      <w:rFonts w:ascii="Arial" w:eastAsia="Arial" w:hAnsi="Arial"/>
                      <w:color w:val="000000"/>
                      <w:spacing w:val="-4"/>
                      <w:sz w:val="16"/>
                    </w:rPr>
                  </w:pPr>
                  <w:r>
                    <w:rPr>
                      <w:rFonts w:ascii="Arial" w:eastAsia="Arial" w:hAnsi="Arial"/>
                      <w:color w:val="000000"/>
                      <w:spacing w:val="-4"/>
                      <w:sz w:val="16"/>
                    </w:rPr>
                    <w:t xml:space="preserve">Facility opportunities website: Battery Power Plant specific O&amp;M opportunities will be open after project's completion of construction. A dedicated ICN Gateway website will be established when close to that time. However the project website is open for Express of Interest. Website like is </w:t>
                  </w:r>
                  <w:hyperlink r:id="rId11">
                    <w:r>
                      <w:rPr>
                        <w:rFonts w:ascii="Arial" w:eastAsia="Arial" w:hAnsi="Arial"/>
                        <w:color w:val="0000FF"/>
                        <w:spacing w:val="-4"/>
                        <w:sz w:val="16"/>
                        <w:u w:val="single"/>
                      </w:rPr>
                      <w:t>https://www.agl.com.au/about-agl/our-company/suppliers-contractors</w:t>
                    </w:r>
                  </w:hyperlink>
                  <w:r>
                    <w:rPr>
                      <w:rFonts w:ascii="Arial" w:eastAsia="Arial" w:hAnsi="Arial"/>
                      <w:color w:val="000000"/>
                      <w:spacing w:val="-4"/>
                      <w:sz w:val="16"/>
                    </w:rPr>
                    <w:t xml:space="preserve"> </w:t>
                  </w:r>
                </w:p>
                <w:p w14:paraId="4B4EE3C8" w14:textId="77777777" w:rsidR="00224A76" w:rsidRDefault="00DE43B5">
                  <w:pPr>
                    <w:spacing w:before="154" w:line="182" w:lineRule="exact"/>
                    <w:ind w:right="36"/>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C855D6D" w14:textId="77777777" w:rsidR="00224A76" w:rsidRDefault="00DE43B5">
                  <w:pPr>
                    <w:spacing w:before="139"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35DFC69" w14:textId="77777777" w:rsidR="00224A76" w:rsidRDefault="00DE43B5">
                  <w:pPr>
                    <w:spacing w:before="39"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7A90B82" w14:textId="77777777" w:rsidR="00224A76" w:rsidRDefault="00DE43B5">
                  <w:pPr>
                    <w:spacing w:before="39" w:line="182" w:lineRule="exact"/>
                    <w:ind w:left="576" w:right="3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B2B3904" w14:textId="77777777" w:rsidR="00224A76" w:rsidRDefault="00DE43B5">
                  <w:pPr>
                    <w:spacing w:before="39" w:line="182" w:lineRule="exact"/>
                    <w:ind w:left="576" w:right="3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54373089" w14:textId="77777777" w:rsidR="00224A76" w:rsidRDefault="00DE43B5">
                  <w:pPr>
                    <w:spacing w:before="1008" w:after="5" w:line="249" w:lineRule="exact"/>
                    <w:ind w:right="36"/>
                    <w:jc w:val="righ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0C760167">
          <v:line id="_x0000_s1026" style="position:absolute;z-index:251664384;mso-position-horizontal-relative:page;mso-position-vertical-relative:page" from="43.9pt,148.55pt" to="538.15pt,148.55pt" strokeweight="1.2pt">
            <w10:wrap anchorx="page" anchory="page"/>
          </v:line>
        </w:pict>
      </w:r>
    </w:p>
    <w:p w14:paraId="439F4C48" w14:textId="77777777" w:rsidR="00224A76" w:rsidRDefault="00224A76">
      <w:pPr>
        <w:sectPr w:rsidR="00224A76">
          <w:pgSz w:w="11904" w:h="16843"/>
          <w:pgMar w:top="752" w:right="946" w:bottom="890" w:left="878" w:header="720" w:footer="720" w:gutter="0"/>
          <w:cols w:space="720"/>
        </w:sectPr>
      </w:pPr>
    </w:p>
    <w:p w14:paraId="513E32F5" w14:textId="72BAA633" w:rsidR="00224A76" w:rsidRDefault="00DE43B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Feb 27 2025 16:06:57 GMT+1</w:t>
      </w:r>
      <w:r>
        <w:rPr>
          <w:rFonts w:eastAsia="Times New Roman"/>
          <w:color w:val="000000"/>
          <w:sz w:val="16"/>
        </w:rPr>
        <w:t>100 (AEDT) *****</w:t>
      </w:r>
    </w:p>
    <w:p w14:paraId="5A35C1CF" w14:textId="77777777" w:rsidR="00224A76" w:rsidRDefault="00224A76">
      <w:pPr>
        <w:spacing w:before="3" w:after="818" w:line="183" w:lineRule="exact"/>
        <w:sectPr w:rsidR="00224A76">
          <w:pgSz w:w="11904" w:h="16843"/>
          <w:pgMar w:top="1040" w:right="1390" w:bottom="867" w:left="1089" w:header="720" w:footer="720" w:gutter="0"/>
          <w:cols w:space="720"/>
        </w:sectPr>
      </w:pPr>
    </w:p>
    <w:p w14:paraId="5B59161D" w14:textId="77777777" w:rsidR="00224A76" w:rsidRDefault="00DE43B5">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3B2304E" w14:textId="77777777" w:rsidR="00224A76" w:rsidRDefault="00DE43B5">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5F3C4AD" w14:textId="77777777" w:rsidR="00224A76" w:rsidRDefault="00DE43B5">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3CCFE5B" w14:textId="77777777" w:rsidR="00224A76" w:rsidRDefault="00DE43B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7A46DD45" w14:textId="77777777" w:rsidR="00224A76" w:rsidRDefault="00DE43B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BA395B5" w14:textId="77777777" w:rsidR="00224A76" w:rsidRDefault="00DE43B5">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DB2FB20" w14:textId="77777777" w:rsidR="00224A76" w:rsidRDefault="00DE43B5">
      <w:pPr>
        <w:spacing w:before="125" w:line="216" w:lineRule="exact"/>
        <w:ind w:left="648"/>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7658C134" w14:textId="77777777" w:rsidR="00224A76" w:rsidRDefault="00DE43B5">
      <w:pPr>
        <w:spacing w:before="202" w:line="182" w:lineRule="exact"/>
        <w:ind w:left="72"/>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5F8EC24" w14:textId="77777777" w:rsidR="00224A76" w:rsidRDefault="00DE43B5">
      <w:pPr>
        <w:spacing w:before="95" w:after="9264" w:line="221" w:lineRule="exact"/>
        <w:ind w:left="72" w:right="72"/>
        <w:textAlignment w:val="baseline"/>
        <w:rPr>
          <w:rFonts w:ascii="Arial" w:eastAsia="Arial" w:hAnsi="Arial"/>
          <w:color w:val="000000"/>
          <w:spacing w:val="-4"/>
          <w:sz w:val="16"/>
        </w:rPr>
      </w:pPr>
      <w:r>
        <w:rPr>
          <w:rFonts w:ascii="Arial" w:eastAsia="Arial" w:hAnsi="Arial"/>
          <w:color w:val="000000"/>
          <w:spacing w:val="-4"/>
          <w:sz w:val="16"/>
        </w:rPr>
        <w:t>AGL procurement department established an evaluation system for bid suppliers and will offer to provide feedback on their skillset, experience and improvement to unsuccessful Australian bidders. This includes an unsuccessful supplier debriefing process, that includes meeting and documented outcomes. With written communication included as part of the process. Moreover AGL will request the appointed procurement entities offer to provide feedback to all unsuccessful bidder as the same protocol.</w:t>
      </w:r>
    </w:p>
    <w:p w14:paraId="7987EB7B" w14:textId="77777777" w:rsidR="00224A76" w:rsidRDefault="00224A76">
      <w:pPr>
        <w:spacing w:before="95" w:after="9264" w:line="221" w:lineRule="exact"/>
        <w:sectPr w:rsidR="00224A76">
          <w:type w:val="continuous"/>
          <w:pgSz w:w="11904" w:h="16843"/>
          <w:pgMar w:top="1040" w:right="1515" w:bottom="867" w:left="964" w:header="720" w:footer="720" w:gutter="0"/>
          <w:cols w:space="720"/>
        </w:sectPr>
      </w:pPr>
    </w:p>
    <w:p w14:paraId="6E61B5AE" w14:textId="77777777" w:rsidR="00224A76" w:rsidRDefault="00DE43B5">
      <w:pPr>
        <w:spacing w:before="4" w:line="249" w:lineRule="exact"/>
        <w:textAlignment w:val="baseline"/>
        <w:rPr>
          <w:rFonts w:eastAsia="Times New Roman"/>
          <w:color w:val="000000"/>
          <w:spacing w:val="-1"/>
        </w:rPr>
      </w:pPr>
      <w:r>
        <w:rPr>
          <w:rFonts w:eastAsia="Times New Roman"/>
          <w:color w:val="000000"/>
          <w:spacing w:val="-1"/>
        </w:rPr>
        <w:t>Page 5 of 5</w:t>
      </w:r>
    </w:p>
    <w:sectPr w:rsidR="00224A76">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01F6" w14:textId="77777777" w:rsidR="00DE43B5" w:rsidRDefault="00DE43B5">
      <w:r>
        <w:separator/>
      </w:r>
    </w:p>
  </w:endnote>
  <w:endnote w:type="continuationSeparator" w:id="0">
    <w:p w14:paraId="58D66DA7" w14:textId="77777777" w:rsidR="00DE43B5" w:rsidRDefault="00DE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7ABE" w14:textId="77777777" w:rsidR="00224A76" w:rsidRDefault="00224A76"/>
  </w:footnote>
  <w:footnote w:type="continuationSeparator" w:id="0">
    <w:p w14:paraId="3A1C9483" w14:textId="77777777" w:rsidR="00224A76" w:rsidRDefault="00DE4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76"/>
    <w:rsid w:val="00224A76"/>
    <w:rsid w:val="00A92BA2"/>
    <w:rsid w:val="00DE4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BD4788F"/>
  <w15:docId w15:val="{D083BDEF-942A-4EEE-9004-604BC183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l.com.au/about-agl/operations/queensland-battery?cidi=AGL%7CB100254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steinbakk@agl.com.au"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l.com.au/about-agl/our-company/suppliers-contractors" TargetMode="External"/><Relationship Id="rId5" Type="http://schemas.openxmlformats.org/officeDocument/2006/relationships/endnotes" Target="endnotes.xml"/><Relationship Id="rId10" Type="http://schemas.openxmlformats.org/officeDocument/2006/relationships/hyperlink" Target="http://agl.com.au" TargetMode="External"/><Relationship Id="rId4" Type="http://schemas.openxmlformats.org/officeDocument/2006/relationships/footnotes" Target="footnotes.xml"/><Relationship Id="rId9" Type="http://schemas.openxmlformats.org/officeDocument/2006/relationships/hyperlink" Target="mailto:dbowly@ag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2025-03-03T05:15:00Z</dcterms:created>
  <dcterms:modified xsi:type="dcterms:W3CDTF">2025-03-03T05:17:00Z</dcterms:modified>
</cp:coreProperties>
</file>