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DA308" w14:textId="77777777" w:rsidR="004F6AA9" w:rsidRPr="00A97F06" w:rsidRDefault="004F6AA9" w:rsidP="0056761B">
      <w:pPr>
        <w:pStyle w:val="Heading1"/>
        <w:rPr>
          <w:rFonts w:asciiTheme="minorHAnsi" w:hAnsiTheme="minorHAnsi"/>
          <w:color w:val="auto"/>
          <w:sz w:val="22"/>
          <w:szCs w:val="22"/>
        </w:rPr>
      </w:pPr>
      <w:r w:rsidRPr="00A97F06">
        <w:rPr>
          <w:rFonts w:asciiTheme="minorHAnsi" w:hAnsiTheme="minorHAnsi"/>
          <w:color w:val="auto"/>
          <w:sz w:val="22"/>
          <w:szCs w:val="22"/>
        </w:rPr>
        <w:t>Australian Industry Participation (AIP) plan Summary – Project Phase</w:t>
      </w:r>
    </w:p>
    <w:p w14:paraId="3F844625" w14:textId="77777777" w:rsidR="004F6AA9" w:rsidRPr="00A97F06" w:rsidRDefault="004F6AA9" w:rsidP="0056761B">
      <w:pPr>
        <w:pStyle w:val="Heading2"/>
        <w:spacing w:line="360" w:lineRule="auto"/>
        <w:rPr>
          <w:rFonts w:asciiTheme="minorHAnsi" w:hAnsiTheme="minorHAnsi" w:cs="Arial"/>
          <w:szCs w:val="22"/>
        </w:rPr>
      </w:pPr>
      <w:r w:rsidRPr="00A97F06">
        <w:rPr>
          <w:rFonts w:asciiTheme="minorHAnsi" w:hAnsiTheme="minorHAnsi" w:cs="Arial"/>
          <w:szCs w:val="22"/>
        </w:rPr>
        <w:t>1. Project Details</w:t>
      </w:r>
    </w:p>
    <w:p w14:paraId="5083C3EB" w14:textId="77777777" w:rsidR="004F6AA9" w:rsidRPr="00A97F06" w:rsidRDefault="004F6AA9" w:rsidP="0056761B">
      <w:pPr>
        <w:shd w:val="clear" w:color="auto" w:fill="FFFFFF"/>
        <w:spacing w:before="0" w:after="0" w:line="360" w:lineRule="auto"/>
        <w:rPr>
          <w:rFonts w:cs="Arial"/>
          <w:b/>
          <w:bCs/>
          <w:kern w:val="32"/>
          <w:szCs w:val="22"/>
          <w:lang w:eastAsia="en-US"/>
        </w:rPr>
      </w:pPr>
      <w:r w:rsidRPr="00A97F06">
        <w:rPr>
          <w:rFonts w:cs="Arial"/>
          <w:b/>
          <w:szCs w:val="22"/>
        </w:rPr>
        <w:t>Designated project proponent</w:t>
      </w:r>
      <w:r w:rsidRPr="00A97F06">
        <w:rPr>
          <w:rFonts w:cs="Arial"/>
          <w:szCs w:val="22"/>
        </w:rPr>
        <w:t xml:space="preserve">: </w:t>
      </w:r>
      <w:r w:rsidRPr="00A97F06">
        <w:rPr>
          <w:rFonts w:cs="Arial"/>
          <w:bCs/>
          <w:kern w:val="32"/>
          <w:szCs w:val="22"/>
          <w:lang w:eastAsia="en-US"/>
        </w:rPr>
        <w:t>Snowy Hydro Limited</w:t>
      </w:r>
    </w:p>
    <w:p w14:paraId="69FFFD56" w14:textId="77777777" w:rsidR="004F6AA9" w:rsidRPr="00A97F06" w:rsidRDefault="004F6AA9" w:rsidP="0056761B">
      <w:pPr>
        <w:shd w:val="clear" w:color="auto" w:fill="FFFFFF"/>
        <w:spacing w:before="0" w:after="0" w:line="360" w:lineRule="auto"/>
        <w:rPr>
          <w:rFonts w:cs="Arial"/>
          <w:bCs/>
          <w:kern w:val="32"/>
          <w:szCs w:val="22"/>
          <w:lang w:eastAsia="en-US"/>
        </w:rPr>
      </w:pPr>
      <w:r w:rsidRPr="00A97F06">
        <w:rPr>
          <w:rFonts w:cs="Arial"/>
          <w:b/>
          <w:szCs w:val="22"/>
        </w:rPr>
        <w:t>Project name</w:t>
      </w:r>
      <w:r w:rsidRPr="00A97F06">
        <w:rPr>
          <w:rFonts w:cs="Arial"/>
          <w:szCs w:val="22"/>
        </w:rPr>
        <w:t xml:space="preserve">: </w:t>
      </w:r>
      <w:r w:rsidRPr="00A97F06">
        <w:rPr>
          <w:rFonts w:cs="Arial"/>
          <w:bCs/>
          <w:kern w:val="32"/>
          <w:szCs w:val="22"/>
          <w:lang w:eastAsia="en-US"/>
        </w:rPr>
        <w:t>Snowy 2.0</w:t>
      </w:r>
    </w:p>
    <w:p w14:paraId="1CA6CCD2" w14:textId="77777777" w:rsidR="0056761B" w:rsidRDefault="004F6AA9" w:rsidP="0056761B">
      <w:pPr>
        <w:shd w:val="clear" w:color="auto" w:fill="FFFFFF"/>
        <w:spacing w:before="0" w:after="0"/>
        <w:rPr>
          <w:rFonts w:cs="Arial"/>
          <w:szCs w:val="22"/>
        </w:rPr>
      </w:pPr>
      <w:r w:rsidRPr="00A97F06">
        <w:rPr>
          <w:rFonts w:cs="Arial"/>
          <w:b/>
          <w:szCs w:val="22"/>
        </w:rPr>
        <w:t>Description of the project</w:t>
      </w:r>
      <w:r w:rsidR="008C23B2">
        <w:rPr>
          <w:rFonts w:cs="Arial"/>
          <w:szCs w:val="22"/>
        </w:rPr>
        <w:t>:</w:t>
      </w:r>
    </w:p>
    <w:p w14:paraId="460C6270" w14:textId="77777777" w:rsidR="00D23B89" w:rsidRPr="00586656" w:rsidRDefault="00D23B89" w:rsidP="00D23B89">
      <w:pPr>
        <w:rPr>
          <w:szCs w:val="22"/>
        </w:rPr>
      </w:pPr>
      <w:r w:rsidRPr="00586656">
        <w:rPr>
          <w:szCs w:val="22"/>
        </w:rPr>
        <w:t>The Snowy 2.0 pumped hydroelectric scheme (“</w:t>
      </w:r>
      <w:r w:rsidRPr="00586656">
        <w:rPr>
          <w:b/>
          <w:szCs w:val="22"/>
        </w:rPr>
        <w:t>Project</w:t>
      </w:r>
      <w:r w:rsidRPr="00586656">
        <w:rPr>
          <w:szCs w:val="22"/>
        </w:rPr>
        <w:t>”) is a large scale pumped hydro-electric storage and generation project that will increase the generation capacity of the Snowy Hydro Scheme by up to 2000 megawatts, and at full capacity, will provide approximately 350 000 megawatt hours of energy storage. The key features of the Project are:</w:t>
      </w:r>
    </w:p>
    <w:p w14:paraId="64294DD5" w14:textId="77777777" w:rsidR="00D23B89" w:rsidRPr="00586656" w:rsidRDefault="00D23B89" w:rsidP="00D23B89">
      <w:pPr>
        <w:pStyle w:val="ListParagraph"/>
        <w:numPr>
          <w:ilvl w:val="0"/>
          <w:numId w:val="10"/>
        </w:numPr>
        <w:rPr>
          <w:szCs w:val="22"/>
        </w:rPr>
      </w:pPr>
      <w:r w:rsidRPr="00586656">
        <w:rPr>
          <w:szCs w:val="22"/>
        </w:rPr>
        <w:t>exploratory works including an exploratory tunnel and portal to the proposed main cavern location;</w:t>
      </w:r>
    </w:p>
    <w:p w14:paraId="1F9BDAD8" w14:textId="77777777" w:rsidR="00D23B89" w:rsidRPr="00586656" w:rsidRDefault="00D23B89" w:rsidP="00D23B89">
      <w:pPr>
        <w:pStyle w:val="ListParagraph"/>
        <w:numPr>
          <w:ilvl w:val="0"/>
          <w:numId w:val="10"/>
        </w:numPr>
        <w:rPr>
          <w:szCs w:val="22"/>
        </w:rPr>
      </w:pPr>
      <w:r w:rsidRPr="00586656">
        <w:rPr>
          <w:szCs w:val="22"/>
        </w:rPr>
        <w:t>the construction or upgrade of access roads, bridges and lay down areas;</w:t>
      </w:r>
    </w:p>
    <w:p w14:paraId="39274A9D" w14:textId="77777777" w:rsidR="00D23B89" w:rsidRPr="00586656" w:rsidRDefault="00D23B89" w:rsidP="00D23B89">
      <w:pPr>
        <w:pStyle w:val="ListParagraph"/>
        <w:numPr>
          <w:ilvl w:val="0"/>
          <w:numId w:val="10"/>
        </w:numPr>
        <w:rPr>
          <w:szCs w:val="22"/>
        </w:rPr>
      </w:pPr>
      <w:r w:rsidRPr="00586656">
        <w:rPr>
          <w:szCs w:val="22"/>
        </w:rPr>
        <w:t>construction of tunnels linking the existing Tantangara and Talbingo Reservoirs;</w:t>
      </w:r>
    </w:p>
    <w:p w14:paraId="33664114" w14:textId="77777777" w:rsidR="00D23B89" w:rsidRPr="00586656" w:rsidRDefault="00D23B89" w:rsidP="00D23B89">
      <w:pPr>
        <w:pStyle w:val="ListParagraph"/>
        <w:numPr>
          <w:ilvl w:val="0"/>
          <w:numId w:val="10"/>
        </w:numPr>
        <w:rPr>
          <w:szCs w:val="22"/>
        </w:rPr>
      </w:pPr>
      <w:r w:rsidRPr="00586656">
        <w:rPr>
          <w:szCs w:val="22"/>
        </w:rPr>
        <w:t>a 2000MW power and pump station, located approximately 1km underground and all associated const</w:t>
      </w:r>
      <w:bookmarkStart w:id="0" w:name="_GoBack"/>
      <w:bookmarkEnd w:id="0"/>
      <w:r w:rsidRPr="00586656">
        <w:rPr>
          <w:szCs w:val="22"/>
        </w:rPr>
        <w:t>ruction;</w:t>
      </w:r>
    </w:p>
    <w:p w14:paraId="74DB6026" w14:textId="77777777" w:rsidR="00D23B89" w:rsidRPr="00586656" w:rsidRDefault="00D23B89" w:rsidP="00D23B89">
      <w:pPr>
        <w:pStyle w:val="ListParagraph"/>
        <w:numPr>
          <w:ilvl w:val="0"/>
          <w:numId w:val="10"/>
        </w:numPr>
        <w:rPr>
          <w:szCs w:val="22"/>
        </w:rPr>
      </w:pPr>
      <w:r w:rsidRPr="00586656">
        <w:rPr>
          <w:szCs w:val="22"/>
        </w:rPr>
        <w:t>excavated rock management; and</w:t>
      </w:r>
    </w:p>
    <w:p w14:paraId="1F048160" w14:textId="77777777" w:rsidR="00D23B89" w:rsidRPr="00586656" w:rsidRDefault="00D23B89" w:rsidP="00D23B89">
      <w:pPr>
        <w:pStyle w:val="ListParagraph"/>
        <w:numPr>
          <w:ilvl w:val="0"/>
          <w:numId w:val="10"/>
        </w:numPr>
        <w:rPr>
          <w:szCs w:val="22"/>
        </w:rPr>
      </w:pPr>
      <w:r w:rsidRPr="00586656">
        <w:rPr>
          <w:szCs w:val="22"/>
        </w:rPr>
        <w:t xml:space="preserve">establishment of workers camps and other ancillary facilities/supplies including but not limited to laydown areas, construction power, water and sewage infrastructure. </w:t>
      </w:r>
    </w:p>
    <w:p w14:paraId="0AE40530" w14:textId="77777777" w:rsidR="008C23B2" w:rsidRPr="00586656" w:rsidRDefault="008C23B2" w:rsidP="00D23B89">
      <w:pPr>
        <w:rPr>
          <w:szCs w:val="22"/>
        </w:rPr>
      </w:pPr>
      <w:r w:rsidRPr="00586656">
        <w:rPr>
          <w:szCs w:val="22"/>
        </w:rPr>
        <w:t>The Project will be delivered by way of an Engineering, Procurement, Construction turn-key contract (“</w:t>
      </w:r>
      <w:r w:rsidRPr="00586656">
        <w:rPr>
          <w:b/>
          <w:szCs w:val="22"/>
        </w:rPr>
        <w:t>EPC Contract</w:t>
      </w:r>
      <w:r w:rsidRPr="00586656">
        <w:rPr>
          <w:szCs w:val="22"/>
        </w:rPr>
        <w:t>”) entered into between Snowy Hydro Limited (</w:t>
      </w:r>
      <w:r w:rsidRPr="00586656">
        <w:rPr>
          <w:b/>
          <w:szCs w:val="22"/>
        </w:rPr>
        <w:t>Snowy Hydro</w:t>
      </w:r>
      <w:r w:rsidRPr="00586656">
        <w:rPr>
          <w:szCs w:val="22"/>
        </w:rPr>
        <w:t>) and a construction contractor (“</w:t>
      </w:r>
      <w:r w:rsidRPr="00586656">
        <w:rPr>
          <w:b/>
          <w:szCs w:val="22"/>
        </w:rPr>
        <w:t>Contractor</w:t>
      </w:r>
      <w:r w:rsidRPr="00586656">
        <w:rPr>
          <w:szCs w:val="22"/>
        </w:rPr>
        <w:t>”). The electrical and mechanical (“</w:t>
      </w:r>
      <w:r w:rsidRPr="00586656">
        <w:rPr>
          <w:b/>
          <w:szCs w:val="22"/>
        </w:rPr>
        <w:t>E&amp;M</w:t>
      </w:r>
      <w:r w:rsidRPr="00586656">
        <w:rPr>
          <w:szCs w:val="22"/>
        </w:rPr>
        <w:t>”) works inside the power station will be delivered by a world-leading pumped hydro expert, who will be a nominated subcontractor under the EPC Contract.</w:t>
      </w:r>
    </w:p>
    <w:p w14:paraId="68A7B696" w14:textId="268FC700" w:rsidR="00FE5212" w:rsidRPr="00586656" w:rsidRDefault="00FE5212" w:rsidP="00D23B89">
      <w:pPr>
        <w:rPr>
          <w:szCs w:val="22"/>
        </w:rPr>
      </w:pPr>
      <w:r w:rsidRPr="00586656">
        <w:rPr>
          <w:szCs w:val="22"/>
        </w:rPr>
        <w:t xml:space="preserve">Following an extensive and collaborative tender process, </w:t>
      </w:r>
      <w:r w:rsidR="008C23B2" w:rsidRPr="00586656">
        <w:rPr>
          <w:szCs w:val="22"/>
        </w:rPr>
        <w:t xml:space="preserve">Snowy Hydro has </w:t>
      </w:r>
      <w:r w:rsidR="009459DB">
        <w:rPr>
          <w:szCs w:val="22"/>
        </w:rPr>
        <w:t xml:space="preserve">appointed </w:t>
      </w:r>
      <w:r w:rsidR="008C23B2" w:rsidRPr="00586656">
        <w:rPr>
          <w:szCs w:val="22"/>
        </w:rPr>
        <w:t>Future</w:t>
      </w:r>
      <w:r w:rsidR="003A602D">
        <w:rPr>
          <w:szCs w:val="22"/>
        </w:rPr>
        <w:t xml:space="preserve"> </w:t>
      </w:r>
      <w:r w:rsidR="008C23B2" w:rsidRPr="00586656">
        <w:rPr>
          <w:szCs w:val="22"/>
        </w:rPr>
        <w:t xml:space="preserve">Generation, an unincorporated joint venture involving Salini Impregilo S.p.V., </w:t>
      </w:r>
      <w:r w:rsidR="00586656" w:rsidRPr="00586656">
        <w:rPr>
          <w:szCs w:val="22"/>
        </w:rPr>
        <w:t xml:space="preserve">The </w:t>
      </w:r>
      <w:r w:rsidR="008C23B2" w:rsidRPr="00586656">
        <w:rPr>
          <w:szCs w:val="22"/>
        </w:rPr>
        <w:t xml:space="preserve">Lane Construction Corporation (a subsidiary of Salini Impregilo S.p.V) and Clough Projects Australia Pty Ltd as the </w:t>
      </w:r>
      <w:r w:rsidR="009459DB">
        <w:rPr>
          <w:szCs w:val="22"/>
        </w:rPr>
        <w:t>Contractor</w:t>
      </w:r>
      <w:r w:rsidR="008C23B2" w:rsidRPr="00586656">
        <w:rPr>
          <w:szCs w:val="22"/>
        </w:rPr>
        <w:t xml:space="preserve"> for the Project. Voith Hydro GmbH </w:t>
      </w:r>
      <w:r w:rsidR="00586656" w:rsidRPr="00586656">
        <w:rPr>
          <w:szCs w:val="22"/>
        </w:rPr>
        <w:t xml:space="preserve">&amp; CO. KG </w:t>
      </w:r>
      <w:r w:rsidR="008C23B2" w:rsidRPr="00586656">
        <w:rPr>
          <w:szCs w:val="22"/>
        </w:rPr>
        <w:t xml:space="preserve">is </w:t>
      </w:r>
      <w:r w:rsidR="009459DB">
        <w:rPr>
          <w:szCs w:val="22"/>
        </w:rPr>
        <w:t>the</w:t>
      </w:r>
      <w:r w:rsidR="008C23B2" w:rsidRPr="00586656">
        <w:rPr>
          <w:szCs w:val="22"/>
        </w:rPr>
        <w:t xml:space="preserve"> </w:t>
      </w:r>
      <w:r w:rsidRPr="00586656">
        <w:rPr>
          <w:szCs w:val="22"/>
        </w:rPr>
        <w:t>nominated subcontractor for the E&amp;M works.</w:t>
      </w:r>
      <w:r w:rsidR="00586656" w:rsidRPr="00586656">
        <w:rPr>
          <w:szCs w:val="22"/>
        </w:rPr>
        <w:t xml:space="preserve"> </w:t>
      </w:r>
    </w:p>
    <w:p w14:paraId="05148285" w14:textId="77777777" w:rsidR="00FE5212" w:rsidRPr="00586656" w:rsidRDefault="00D23B89" w:rsidP="00FE5212">
      <w:pPr>
        <w:rPr>
          <w:szCs w:val="22"/>
        </w:rPr>
      </w:pPr>
      <w:r w:rsidRPr="00586656">
        <w:rPr>
          <w:szCs w:val="22"/>
        </w:rPr>
        <w:t xml:space="preserve">The Project will </w:t>
      </w:r>
      <w:r w:rsidR="00FE5212" w:rsidRPr="00586656">
        <w:rPr>
          <w:szCs w:val="22"/>
        </w:rPr>
        <w:t xml:space="preserve">be delivered by the Contractor in two stages: </w:t>
      </w:r>
    </w:p>
    <w:p w14:paraId="7EDFDC9D" w14:textId="77777777" w:rsidR="00FE5212" w:rsidRPr="00586656" w:rsidRDefault="00FE5212" w:rsidP="00FE5212">
      <w:pPr>
        <w:pStyle w:val="ListParagraph"/>
        <w:numPr>
          <w:ilvl w:val="0"/>
          <w:numId w:val="15"/>
        </w:numPr>
        <w:rPr>
          <w:szCs w:val="22"/>
        </w:rPr>
      </w:pPr>
      <w:r w:rsidRPr="00586656">
        <w:rPr>
          <w:szCs w:val="22"/>
        </w:rPr>
        <w:t>Early Works - design, planning and some exploratory construction works</w:t>
      </w:r>
      <w:r w:rsidR="00ED78D2" w:rsidRPr="00586656">
        <w:rPr>
          <w:szCs w:val="22"/>
        </w:rPr>
        <w:t>; and</w:t>
      </w:r>
    </w:p>
    <w:p w14:paraId="6D1F6AFE" w14:textId="77777777" w:rsidR="00FE5212" w:rsidRPr="00586656" w:rsidRDefault="00FE5212" w:rsidP="00FE5212">
      <w:pPr>
        <w:pStyle w:val="ListParagraph"/>
        <w:numPr>
          <w:ilvl w:val="0"/>
          <w:numId w:val="15"/>
        </w:numPr>
        <w:rPr>
          <w:szCs w:val="22"/>
        </w:rPr>
      </w:pPr>
      <w:r w:rsidRPr="00586656">
        <w:rPr>
          <w:szCs w:val="22"/>
        </w:rPr>
        <w:t>Main Works – main construction and delivery of the Project, including all civil works and all E&amp;M works.</w:t>
      </w:r>
      <w:r w:rsidR="00ED78D2" w:rsidRPr="00586656">
        <w:rPr>
          <w:szCs w:val="22"/>
        </w:rPr>
        <w:t xml:space="preserve"> This stage will not commence until Snowy Hydro issues a “Notice to Proceed” under the EPC contract, which requires the satisfaction of a number of conditions precedent, including obtaining relevant environmental approvals.</w:t>
      </w:r>
    </w:p>
    <w:p w14:paraId="69588B21" w14:textId="74D1FF86" w:rsidR="00ED78D2" w:rsidRPr="00586656" w:rsidRDefault="009459DB" w:rsidP="00D23B89">
      <w:pPr>
        <w:rPr>
          <w:szCs w:val="22"/>
        </w:rPr>
      </w:pPr>
      <w:r>
        <w:rPr>
          <w:szCs w:val="22"/>
        </w:rPr>
        <w:t>The</w:t>
      </w:r>
      <w:r w:rsidR="00ED78D2" w:rsidRPr="00586656">
        <w:rPr>
          <w:szCs w:val="22"/>
        </w:rPr>
        <w:t xml:space="preserve"> Early Works will </w:t>
      </w:r>
      <w:r w:rsidR="0044330E">
        <w:rPr>
          <w:szCs w:val="22"/>
        </w:rPr>
        <w:t xml:space="preserve">now </w:t>
      </w:r>
      <w:r w:rsidR="00ED78D2" w:rsidRPr="00586656">
        <w:rPr>
          <w:szCs w:val="22"/>
        </w:rPr>
        <w:t xml:space="preserve">commence </w:t>
      </w:r>
      <w:r w:rsidR="007E3A82">
        <w:rPr>
          <w:szCs w:val="22"/>
        </w:rPr>
        <w:t>after</w:t>
      </w:r>
      <w:r w:rsidR="007E3A82" w:rsidRPr="00586656">
        <w:rPr>
          <w:szCs w:val="22"/>
        </w:rPr>
        <w:t xml:space="preserve"> </w:t>
      </w:r>
      <w:r w:rsidR="00ED78D2" w:rsidRPr="00D115C5">
        <w:rPr>
          <w:szCs w:val="22"/>
        </w:rPr>
        <w:t>execution of the EPC contract</w:t>
      </w:r>
      <w:r w:rsidR="00ED78D2" w:rsidRPr="00586656">
        <w:rPr>
          <w:szCs w:val="22"/>
        </w:rPr>
        <w:t xml:space="preserve"> </w:t>
      </w:r>
      <w:r w:rsidR="0044330E">
        <w:rPr>
          <w:szCs w:val="22"/>
        </w:rPr>
        <w:t>on 5 April 2019</w:t>
      </w:r>
      <w:r w:rsidR="0059086E">
        <w:rPr>
          <w:szCs w:val="22"/>
        </w:rPr>
        <w:t xml:space="preserve"> </w:t>
      </w:r>
      <w:r w:rsidR="002A4991">
        <w:rPr>
          <w:szCs w:val="22"/>
        </w:rPr>
        <w:t>with Future</w:t>
      </w:r>
      <w:r w:rsidR="003A602D">
        <w:rPr>
          <w:szCs w:val="22"/>
        </w:rPr>
        <w:t xml:space="preserve"> </w:t>
      </w:r>
      <w:r w:rsidR="0059086E">
        <w:rPr>
          <w:szCs w:val="22"/>
        </w:rPr>
        <w:t>Generation</w:t>
      </w:r>
      <w:r w:rsidR="0044330E">
        <w:rPr>
          <w:szCs w:val="22"/>
        </w:rPr>
        <w:t xml:space="preserve"> </w:t>
      </w:r>
      <w:r w:rsidR="00ED78D2" w:rsidRPr="00586656">
        <w:rPr>
          <w:szCs w:val="22"/>
        </w:rPr>
        <w:t xml:space="preserve">and Main Works will commence in 2020. </w:t>
      </w:r>
      <w:r w:rsidR="007E3A82">
        <w:rPr>
          <w:szCs w:val="22"/>
        </w:rPr>
        <w:t>It is anticipated that t</w:t>
      </w:r>
      <w:r w:rsidR="00ED78D2" w:rsidRPr="00586656">
        <w:rPr>
          <w:szCs w:val="22"/>
        </w:rPr>
        <w:t xml:space="preserve">he Project </w:t>
      </w:r>
      <w:r w:rsidR="007E3A82">
        <w:rPr>
          <w:szCs w:val="22"/>
        </w:rPr>
        <w:t>will</w:t>
      </w:r>
      <w:r w:rsidR="00ED78D2" w:rsidRPr="00586656">
        <w:rPr>
          <w:szCs w:val="22"/>
        </w:rPr>
        <w:t xml:space="preserve"> be completed </w:t>
      </w:r>
      <w:r w:rsidR="007E3A82">
        <w:rPr>
          <w:szCs w:val="22"/>
        </w:rPr>
        <w:t xml:space="preserve">between </w:t>
      </w:r>
      <w:r w:rsidR="003625F3">
        <w:rPr>
          <w:szCs w:val="22"/>
        </w:rPr>
        <w:t>2025</w:t>
      </w:r>
      <w:r w:rsidR="007E3A82">
        <w:rPr>
          <w:szCs w:val="22"/>
        </w:rPr>
        <w:t xml:space="preserve"> and 2026</w:t>
      </w:r>
      <w:r w:rsidR="00586656" w:rsidRPr="00586656">
        <w:rPr>
          <w:szCs w:val="22"/>
        </w:rPr>
        <w:t>.</w:t>
      </w:r>
    </w:p>
    <w:p w14:paraId="04DE70BF" w14:textId="77777777" w:rsidR="0056761B" w:rsidRPr="00A97F06" w:rsidRDefault="0056761B" w:rsidP="0056761B">
      <w:pPr>
        <w:shd w:val="clear" w:color="auto" w:fill="FFFFFF"/>
        <w:spacing w:before="0" w:after="0"/>
        <w:rPr>
          <w:rFonts w:cs="Arial"/>
          <w:szCs w:val="22"/>
        </w:rPr>
      </w:pPr>
    </w:p>
    <w:p w14:paraId="6497F73F" w14:textId="77777777" w:rsidR="004F6AA9" w:rsidRPr="00A97F06" w:rsidRDefault="004F6AA9" w:rsidP="0056761B">
      <w:pPr>
        <w:shd w:val="clear" w:color="auto" w:fill="FFFFFF"/>
        <w:spacing w:before="0" w:after="0" w:line="360" w:lineRule="auto"/>
        <w:rPr>
          <w:rFonts w:cs="Arial"/>
          <w:bCs/>
          <w:kern w:val="32"/>
          <w:szCs w:val="22"/>
          <w:lang w:eastAsia="en-US"/>
        </w:rPr>
      </w:pPr>
      <w:r w:rsidRPr="00A97F06">
        <w:rPr>
          <w:rFonts w:cs="Arial"/>
          <w:b/>
          <w:szCs w:val="22"/>
        </w:rPr>
        <w:t>Estimated project value</w:t>
      </w:r>
      <w:r w:rsidRPr="00A97F06">
        <w:rPr>
          <w:rFonts w:cs="Arial"/>
          <w:szCs w:val="22"/>
        </w:rPr>
        <w:t xml:space="preserve">: </w:t>
      </w:r>
      <w:r w:rsidRPr="00A97F06">
        <w:rPr>
          <w:rFonts w:cs="Arial"/>
          <w:bCs/>
          <w:kern w:val="32"/>
          <w:szCs w:val="22"/>
          <w:lang w:eastAsia="en-US"/>
        </w:rPr>
        <w:t>$4.5bn</w:t>
      </w:r>
    </w:p>
    <w:p w14:paraId="34F51E01" w14:textId="77777777" w:rsidR="004F6AA9" w:rsidRPr="00A97F06" w:rsidRDefault="004F6AA9" w:rsidP="0056761B">
      <w:pPr>
        <w:shd w:val="clear" w:color="auto" w:fill="FFFFFF"/>
        <w:spacing w:before="0" w:after="0" w:line="360" w:lineRule="auto"/>
        <w:rPr>
          <w:rFonts w:cs="Arial"/>
          <w:bCs/>
          <w:kern w:val="32"/>
          <w:szCs w:val="22"/>
          <w:lang w:eastAsia="en-US"/>
        </w:rPr>
      </w:pPr>
      <w:r w:rsidRPr="00A97F06">
        <w:rPr>
          <w:rFonts w:cs="Arial"/>
          <w:b/>
          <w:szCs w:val="22"/>
        </w:rPr>
        <w:t>Project location</w:t>
      </w:r>
      <w:r w:rsidRPr="00A97F06">
        <w:rPr>
          <w:rFonts w:cs="Arial"/>
          <w:szCs w:val="22"/>
        </w:rPr>
        <w:t xml:space="preserve">: </w:t>
      </w:r>
      <w:r w:rsidRPr="00A97F06">
        <w:rPr>
          <w:rFonts w:cs="Arial"/>
          <w:bCs/>
          <w:kern w:val="32"/>
          <w:szCs w:val="22"/>
          <w:lang w:eastAsia="en-US"/>
        </w:rPr>
        <w:t>Kosciuszko National Park, New South Wales</w:t>
      </w:r>
    </w:p>
    <w:p w14:paraId="3A8CD857" w14:textId="77777777" w:rsidR="004F6AA9" w:rsidRPr="00A97F06" w:rsidRDefault="004F6AA9" w:rsidP="0056761B">
      <w:pPr>
        <w:shd w:val="clear" w:color="auto" w:fill="FFFFFF"/>
        <w:spacing w:before="0" w:after="0" w:line="360" w:lineRule="auto"/>
        <w:rPr>
          <w:rFonts w:cs="Arial"/>
          <w:szCs w:val="22"/>
        </w:rPr>
      </w:pPr>
      <w:r w:rsidRPr="00A97F06">
        <w:rPr>
          <w:rFonts w:cs="Arial"/>
          <w:b/>
          <w:szCs w:val="22"/>
        </w:rPr>
        <w:t>Link to project information</w:t>
      </w:r>
      <w:r w:rsidRPr="00A97F06">
        <w:rPr>
          <w:rFonts w:cs="Arial"/>
          <w:szCs w:val="22"/>
        </w:rPr>
        <w:t>: </w:t>
      </w:r>
      <w:hyperlink r:id="rId12" w:tgtFrame="_blank" w:history="1">
        <w:r w:rsidRPr="00A97F06">
          <w:rPr>
            <w:rFonts w:cs="Arial"/>
            <w:szCs w:val="22"/>
            <w:u w:val="single"/>
          </w:rPr>
          <w:t>https://www.snowyhydro.com.au/our-scheme/snowy20/</w:t>
        </w:r>
      </w:hyperlink>
    </w:p>
    <w:p w14:paraId="650522A5" w14:textId="77777777" w:rsidR="005627A8" w:rsidRDefault="004F6AA9" w:rsidP="0056761B">
      <w:pPr>
        <w:shd w:val="clear" w:color="auto" w:fill="FFFFFF"/>
        <w:spacing w:before="0" w:after="0" w:line="360" w:lineRule="auto"/>
        <w:rPr>
          <w:rFonts w:cs="Arial"/>
          <w:szCs w:val="22"/>
        </w:rPr>
      </w:pPr>
      <w:r w:rsidRPr="00A97F06">
        <w:rPr>
          <w:rFonts w:cs="Arial"/>
          <w:b/>
          <w:szCs w:val="22"/>
        </w:rPr>
        <w:lastRenderedPageBreak/>
        <w:t>Project contact for procurement information</w:t>
      </w:r>
      <w:r w:rsidR="0056761B" w:rsidRPr="00A97F06">
        <w:rPr>
          <w:rFonts w:cs="Arial"/>
          <w:szCs w:val="22"/>
        </w:rPr>
        <w:t xml:space="preserve">: </w:t>
      </w:r>
      <w:r w:rsidR="003625F3">
        <w:rPr>
          <w:rFonts w:cs="Arial"/>
          <w:szCs w:val="22"/>
        </w:rPr>
        <w:t xml:space="preserve">Dean Thomson, </w:t>
      </w:r>
      <w:r w:rsidR="005627A8">
        <w:rPr>
          <w:rFonts w:cs="Arial"/>
          <w:szCs w:val="22"/>
        </w:rPr>
        <w:t xml:space="preserve">phone: 0418 227 496, </w:t>
      </w:r>
    </w:p>
    <w:p w14:paraId="4854627D" w14:textId="110F0529" w:rsidR="004F6AA9" w:rsidRPr="00A97F06" w:rsidRDefault="003625F3" w:rsidP="0056761B">
      <w:pPr>
        <w:shd w:val="clear" w:color="auto" w:fill="FFFFFF"/>
        <w:spacing w:before="0" w:after="0" w:line="360" w:lineRule="auto"/>
        <w:rPr>
          <w:rFonts w:cs="Arial"/>
          <w:szCs w:val="22"/>
        </w:rPr>
      </w:pPr>
      <w:r>
        <w:rPr>
          <w:rFonts w:cs="Arial"/>
          <w:szCs w:val="22"/>
        </w:rPr>
        <w:t xml:space="preserve">email: </w:t>
      </w:r>
      <w:r>
        <w:t>dean.thomson@snowyhydro.com.au</w:t>
      </w:r>
    </w:p>
    <w:p w14:paraId="685329ED" w14:textId="77777777" w:rsidR="0056761B" w:rsidRPr="00A97F06" w:rsidRDefault="004F6AA9" w:rsidP="0056761B">
      <w:pPr>
        <w:shd w:val="clear" w:color="auto" w:fill="FFFFFF"/>
        <w:spacing w:before="0" w:after="0" w:line="360" w:lineRule="auto"/>
        <w:rPr>
          <w:rFonts w:cs="Arial"/>
          <w:szCs w:val="22"/>
        </w:rPr>
      </w:pPr>
      <w:r w:rsidRPr="00A97F06">
        <w:rPr>
          <w:rFonts w:cs="Arial"/>
          <w:b/>
          <w:szCs w:val="22"/>
        </w:rPr>
        <w:t>Other project proponents involved in the project</w:t>
      </w:r>
      <w:r w:rsidRPr="00A97F06">
        <w:rPr>
          <w:rFonts w:cs="Arial"/>
          <w:szCs w:val="22"/>
        </w:rPr>
        <w:t xml:space="preserve">: </w:t>
      </w:r>
      <w:r w:rsidRPr="00A97F06">
        <w:rPr>
          <w:rFonts w:cs="Arial"/>
          <w:bCs/>
          <w:kern w:val="32"/>
          <w:szCs w:val="22"/>
          <w:lang w:eastAsia="en-US"/>
        </w:rPr>
        <w:t>N/A</w:t>
      </w:r>
      <w:r w:rsidRPr="00A97F06">
        <w:rPr>
          <w:rFonts w:cs="Arial"/>
          <w:szCs w:val="22"/>
        </w:rPr>
        <w:t> </w:t>
      </w:r>
    </w:p>
    <w:p w14:paraId="597C651A" w14:textId="77777777" w:rsidR="004F6AA9" w:rsidRPr="00A97F06" w:rsidRDefault="004F6AA9" w:rsidP="0072090F">
      <w:pPr>
        <w:rPr>
          <w:rFonts w:cs="Arial"/>
          <w:b/>
          <w:szCs w:val="22"/>
          <w:u w:val="single"/>
        </w:rPr>
      </w:pPr>
      <w:r w:rsidRPr="00A97F06">
        <w:rPr>
          <w:rFonts w:cs="Arial"/>
          <w:b/>
          <w:szCs w:val="22"/>
          <w:u w:val="single"/>
        </w:rPr>
        <w:t>2. Opportunities to supply Goods and Services</w:t>
      </w:r>
    </w:p>
    <w:tbl>
      <w:tblPr>
        <w:tblStyle w:val="TableGrid"/>
        <w:tblW w:w="0" w:type="auto"/>
        <w:tblLook w:val="04A0" w:firstRow="1" w:lastRow="0" w:firstColumn="1" w:lastColumn="0" w:noHBand="0" w:noVBand="1"/>
        <w:tblDescription w:val="Indicative list of opportunities likely to arise."/>
      </w:tblPr>
      <w:tblGrid>
        <w:gridCol w:w="3936"/>
        <w:gridCol w:w="3223"/>
        <w:gridCol w:w="1857"/>
      </w:tblGrid>
      <w:tr w:rsidR="00A97F06" w:rsidRPr="00A97F06" w14:paraId="523524E6" w14:textId="77777777" w:rsidTr="00A36574">
        <w:trPr>
          <w:tblHeader/>
        </w:trPr>
        <w:tc>
          <w:tcPr>
            <w:tcW w:w="3936" w:type="dxa"/>
            <w:tcBorders>
              <w:bottom w:val="single" w:sz="4" w:space="0" w:color="auto"/>
            </w:tcBorders>
            <w:vAlign w:val="center"/>
          </w:tcPr>
          <w:p w14:paraId="143F87E4"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
                <w:bCs/>
                <w:kern w:val="32"/>
                <w:sz w:val="22"/>
                <w:szCs w:val="22"/>
                <w:lang w:eastAsia="en-US"/>
              </w:rPr>
              <w:t>Expected opportunities</w:t>
            </w:r>
          </w:p>
        </w:tc>
        <w:tc>
          <w:tcPr>
            <w:tcW w:w="3223" w:type="dxa"/>
            <w:tcBorders>
              <w:bottom w:val="single" w:sz="4" w:space="0" w:color="auto"/>
            </w:tcBorders>
            <w:vAlign w:val="center"/>
          </w:tcPr>
          <w:p w14:paraId="644CE974"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
                <w:bCs/>
                <w:kern w:val="32"/>
                <w:sz w:val="22"/>
                <w:szCs w:val="22"/>
                <w:lang w:eastAsia="en-US"/>
              </w:rPr>
              <w:t>Opportunities for Australian entities*</w:t>
            </w:r>
          </w:p>
        </w:tc>
        <w:tc>
          <w:tcPr>
            <w:tcW w:w="1857" w:type="dxa"/>
            <w:tcBorders>
              <w:bottom w:val="single" w:sz="4" w:space="0" w:color="auto"/>
            </w:tcBorders>
            <w:vAlign w:val="center"/>
          </w:tcPr>
          <w:p w14:paraId="75A4E6BF"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
                <w:bCs/>
                <w:kern w:val="32"/>
                <w:sz w:val="22"/>
                <w:szCs w:val="22"/>
                <w:lang w:eastAsia="en-US"/>
              </w:rPr>
              <w:t>Opportunities for  non</w:t>
            </w:r>
            <w:r w:rsidRPr="00A97F06">
              <w:rPr>
                <w:rFonts w:asciiTheme="minorHAnsi" w:hAnsiTheme="minorHAnsi" w:cs="Arial"/>
                <w:b/>
                <w:bCs/>
                <w:kern w:val="32"/>
                <w:sz w:val="22"/>
                <w:szCs w:val="22"/>
                <w:lang w:eastAsia="en-US"/>
              </w:rPr>
              <w:noBreakHyphen/>
              <w:t>Australian entities</w:t>
            </w:r>
          </w:p>
        </w:tc>
      </w:tr>
      <w:tr w:rsidR="00A97F06" w:rsidRPr="00A97F06" w14:paraId="4BE10160" w14:textId="77777777" w:rsidTr="00A36574">
        <w:trPr>
          <w:tblHeader/>
        </w:trPr>
        <w:tc>
          <w:tcPr>
            <w:tcW w:w="3936" w:type="dxa"/>
            <w:tcBorders>
              <w:bottom w:val="single" w:sz="4" w:space="0" w:color="auto"/>
              <w:right w:val="nil"/>
            </w:tcBorders>
          </w:tcPr>
          <w:p w14:paraId="5BD55A9A" w14:textId="77777777" w:rsidR="0056761B" w:rsidRPr="00A97F06" w:rsidRDefault="0056761B" w:rsidP="00A36574">
            <w:pPr>
              <w:rPr>
                <w:rFonts w:asciiTheme="minorHAnsi" w:hAnsiTheme="minorHAnsi" w:cs="Arial"/>
                <w:b/>
                <w:bCs/>
                <w:kern w:val="32"/>
                <w:sz w:val="22"/>
                <w:szCs w:val="22"/>
                <w:lang w:eastAsia="en-US"/>
              </w:rPr>
            </w:pPr>
            <w:r w:rsidRPr="00A97F06">
              <w:rPr>
                <w:rFonts w:asciiTheme="minorHAnsi" w:hAnsiTheme="minorHAnsi" w:cs="Arial"/>
                <w:b/>
                <w:bCs/>
                <w:kern w:val="32"/>
                <w:sz w:val="22"/>
                <w:szCs w:val="22"/>
                <w:lang w:eastAsia="en-US"/>
              </w:rPr>
              <w:t>Goods</w:t>
            </w:r>
          </w:p>
        </w:tc>
        <w:tc>
          <w:tcPr>
            <w:tcW w:w="3223" w:type="dxa"/>
            <w:tcBorders>
              <w:left w:val="nil"/>
              <w:bottom w:val="single" w:sz="4" w:space="0" w:color="auto"/>
              <w:right w:val="nil"/>
            </w:tcBorders>
          </w:tcPr>
          <w:p w14:paraId="2301B7FD" w14:textId="77777777" w:rsidR="0056761B" w:rsidRPr="00A97F06" w:rsidRDefault="0056761B" w:rsidP="00A36574">
            <w:pPr>
              <w:rPr>
                <w:rFonts w:asciiTheme="minorHAnsi" w:hAnsiTheme="minorHAnsi" w:cs="Arial"/>
                <w:bCs/>
                <w:kern w:val="32"/>
                <w:sz w:val="22"/>
                <w:szCs w:val="22"/>
                <w:lang w:eastAsia="en-US"/>
              </w:rPr>
            </w:pPr>
          </w:p>
        </w:tc>
        <w:tc>
          <w:tcPr>
            <w:tcW w:w="1857" w:type="dxa"/>
            <w:tcBorders>
              <w:left w:val="nil"/>
              <w:bottom w:val="single" w:sz="4" w:space="0" w:color="auto"/>
            </w:tcBorders>
          </w:tcPr>
          <w:p w14:paraId="13FC29EC" w14:textId="77777777" w:rsidR="0056761B" w:rsidRPr="00A97F06" w:rsidRDefault="0056761B" w:rsidP="00A36574">
            <w:pPr>
              <w:rPr>
                <w:rFonts w:asciiTheme="minorHAnsi" w:hAnsiTheme="minorHAnsi" w:cs="Arial"/>
                <w:bCs/>
                <w:kern w:val="32"/>
                <w:sz w:val="22"/>
                <w:szCs w:val="22"/>
                <w:lang w:eastAsia="en-US"/>
              </w:rPr>
            </w:pPr>
          </w:p>
        </w:tc>
      </w:tr>
      <w:tr w:rsidR="00A97F06" w:rsidRPr="00A97F06" w14:paraId="636A64D6" w14:textId="77777777" w:rsidTr="00A36574">
        <w:trPr>
          <w:tblHeader/>
        </w:trPr>
        <w:tc>
          <w:tcPr>
            <w:tcW w:w="3936" w:type="dxa"/>
            <w:tcBorders>
              <w:right w:val="single" w:sz="4" w:space="0" w:color="auto"/>
            </w:tcBorders>
          </w:tcPr>
          <w:p w14:paraId="11FE9406"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Heavy vehicles and construction equipment</w:t>
            </w:r>
          </w:p>
        </w:tc>
        <w:tc>
          <w:tcPr>
            <w:tcW w:w="3223" w:type="dxa"/>
            <w:tcBorders>
              <w:left w:val="single" w:sz="4" w:space="0" w:color="auto"/>
              <w:right w:val="single" w:sz="4" w:space="0" w:color="auto"/>
            </w:tcBorders>
          </w:tcPr>
          <w:p w14:paraId="6E815CFB"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73D8E8DD"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510813D5" w14:textId="77777777" w:rsidTr="00A36574">
        <w:trPr>
          <w:tblHeader/>
        </w:trPr>
        <w:tc>
          <w:tcPr>
            <w:tcW w:w="3936" w:type="dxa"/>
            <w:tcBorders>
              <w:right w:val="single" w:sz="4" w:space="0" w:color="auto"/>
            </w:tcBorders>
          </w:tcPr>
          <w:p w14:paraId="03AB5E02"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 xml:space="preserve">Power generation/ pumping ‘Francis unit’ </w:t>
            </w:r>
          </w:p>
        </w:tc>
        <w:tc>
          <w:tcPr>
            <w:tcW w:w="3223" w:type="dxa"/>
            <w:tcBorders>
              <w:left w:val="single" w:sz="4" w:space="0" w:color="auto"/>
              <w:right w:val="single" w:sz="4" w:space="0" w:color="auto"/>
            </w:tcBorders>
          </w:tcPr>
          <w:p w14:paraId="6042144B"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62116978"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31F79E69" w14:textId="77777777" w:rsidTr="00A36574">
        <w:trPr>
          <w:tblHeader/>
        </w:trPr>
        <w:tc>
          <w:tcPr>
            <w:tcW w:w="3936" w:type="dxa"/>
            <w:tcBorders>
              <w:right w:val="single" w:sz="4" w:space="0" w:color="auto"/>
            </w:tcBorders>
          </w:tcPr>
          <w:p w14:paraId="3DEDBA28"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Main inlet valves and specialist control equipment</w:t>
            </w:r>
          </w:p>
        </w:tc>
        <w:tc>
          <w:tcPr>
            <w:tcW w:w="3223" w:type="dxa"/>
            <w:tcBorders>
              <w:left w:val="single" w:sz="4" w:space="0" w:color="auto"/>
              <w:right w:val="single" w:sz="4" w:space="0" w:color="auto"/>
            </w:tcBorders>
          </w:tcPr>
          <w:p w14:paraId="640B59F6"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22870C82"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63F839B2" w14:textId="77777777" w:rsidTr="00A36574">
        <w:trPr>
          <w:tblHeader/>
        </w:trPr>
        <w:tc>
          <w:tcPr>
            <w:tcW w:w="3936" w:type="dxa"/>
            <w:tcBorders>
              <w:right w:val="single" w:sz="4" w:space="0" w:color="auto"/>
            </w:tcBorders>
          </w:tcPr>
          <w:p w14:paraId="0384EB0E"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Power generation associated equipment</w:t>
            </w:r>
          </w:p>
        </w:tc>
        <w:tc>
          <w:tcPr>
            <w:tcW w:w="3223" w:type="dxa"/>
            <w:tcBorders>
              <w:left w:val="single" w:sz="4" w:space="0" w:color="auto"/>
              <w:right w:val="single" w:sz="4" w:space="0" w:color="auto"/>
            </w:tcBorders>
          </w:tcPr>
          <w:p w14:paraId="1D3A2173"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5A21F671"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43C4F475" w14:textId="77777777" w:rsidTr="00A36574">
        <w:trPr>
          <w:tblHeader/>
        </w:trPr>
        <w:tc>
          <w:tcPr>
            <w:tcW w:w="3936" w:type="dxa"/>
            <w:tcBorders>
              <w:right w:val="single" w:sz="4" w:space="0" w:color="auto"/>
            </w:tcBorders>
          </w:tcPr>
          <w:p w14:paraId="44CA4A0A"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High voltage equipment</w:t>
            </w:r>
          </w:p>
        </w:tc>
        <w:tc>
          <w:tcPr>
            <w:tcW w:w="3223" w:type="dxa"/>
            <w:tcBorders>
              <w:left w:val="single" w:sz="4" w:space="0" w:color="auto"/>
              <w:right w:val="single" w:sz="4" w:space="0" w:color="auto"/>
            </w:tcBorders>
          </w:tcPr>
          <w:p w14:paraId="1F873C73"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2226C0F3"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3244E912" w14:textId="77777777" w:rsidTr="00A36574">
        <w:trPr>
          <w:tblHeader/>
        </w:trPr>
        <w:tc>
          <w:tcPr>
            <w:tcW w:w="3936" w:type="dxa"/>
            <w:tcBorders>
              <w:right w:val="single" w:sz="4" w:space="0" w:color="auto"/>
            </w:tcBorders>
          </w:tcPr>
          <w:p w14:paraId="75E2FF99"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High voltage cables</w:t>
            </w:r>
          </w:p>
        </w:tc>
        <w:tc>
          <w:tcPr>
            <w:tcW w:w="3223" w:type="dxa"/>
            <w:tcBorders>
              <w:left w:val="single" w:sz="4" w:space="0" w:color="auto"/>
              <w:right w:val="single" w:sz="4" w:space="0" w:color="auto"/>
            </w:tcBorders>
          </w:tcPr>
          <w:p w14:paraId="20747B48"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2FAA45CF"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75020F9E" w14:textId="77777777" w:rsidTr="00A36574">
        <w:trPr>
          <w:tblHeader/>
        </w:trPr>
        <w:tc>
          <w:tcPr>
            <w:tcW w:w="3936" w:type="dxa"/>
            <w:tcBorders>
              <w:right w:val="single" w:sz="4" w:space="0" w:color="auto"/>
            </w:tcBorders>
          </w:tcPr>
          <w:p w14:paraId="18AE2D56"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Workers accommodation and associated facilities</w:t>
            </w:r>
          </w:p>
        </w:tc>
        <w:tc>
          <w:tcPr>
            <w:tcW w:w="3223" w:type="dxa"/>
            <w:tcBorders>
              <w:left w:val="single" w:sz="4" w:space="0" w:color="auto"/>
              <w:right w:val="single" w:sz="4" w:space="0" w:color="auto"/>
            </w:tcBorders>
          </w:tcPr>
          <w:p w14:paraId="6D0DEEE4"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4A9298F0"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68D93A9C" w14:textId="77777777" w:rsidTr="00A36574">
        <w:trPr>
          <w:tblHeader/>
        </w:trPr>
        <w:tc>
          <w:tcPr>
            <w:tcW w:w="3936" w:type="dxa"/>
            <w:tcBorders>
              <w:right w:val="single" w:sz="4" w:space="0" w:color="auto"/>
            </w:tcBorders>
          </w:tcPr>
          <w:p w14:paraId="6B1E17D5"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Power</w:t>
            </w:r>
          </w:p>
        </w:tc>
        <w:tc>
          <w:tcPr>
            <w:tcW w:w="3223" w:type="dxa"/>
            <w:tcBorders>
              <w:left w:val="single" w:sz="4" w:space="0" w:color="auto"/>
              <w:right w:val="single" w:sz="4" w:space="0" w:color="auto"/>
            </w:tcBorders>
          </w:tcPr>
          <w:p w14:paraId="7C8534E5"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1D4B3266"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No</w:t>
            </w:r>
          </w:p>
        </w:tc>
      </w:tr>
      <w:tr w:rsidR="00A97F06" w:rsidRPr="00A97F06" w14:paraId="5D81D27D" w14:textId="77777777" w:rsidTr="00A36574">
        <w:trPr>
          <w:tblHeader/>
        </w:trPr>
        <w:tc>
          <w:tcPr>
            <w:tcW w:w="3936" w:type="dxa"/>
            <w:tcBorders>
              <w:right w:val="single" w:sz="4" w:space="0" w:color="auto"/>
            </w:tcBorders>
          </w:tcPr>
          <w:p w14:paraId="70AA5E6B"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Quarry products</w:t>
            </w:r>
          </w:p>
        </w:tc>
        <w:tc>
          <w:tcPr>
            <w:tcW w:w="3223" w:type="dxa"/>
            <w:tcBorders>
              <w:left w:val="single" w:sz="4" w:space="0" w:color="auto"/>
              <w:right w:val="single" w:sz="4" w:space="0" w:color="auto"/>
            </w:tcBorders>
          </w:tcPr>
          <w:p w14:paraId="52F5105A"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1E8132AD"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No</w:t>
            </w:r>
          </w:p>
        </w:tc>
      </w:tr>
      <w:tr w:rsidR="00A97F06" w:rsidRPr="00A97F06" w14:paraId="3E0D94AE" w14:textId="77777777" w:rsidTr="00A36574">
        <w:trPr>
          <w:tblHeader/>
        </w:trPr>
        <w:tc>
          <w:tcPr>
            <w:tcW w:w="3936" w:type="dxa"/>
            <w:tcBorders>
              <w:right w:val="single" w:sz="4" w:space="0" w:color="auto"/>
            </w:tcBorders>
          </w:tcPr>
          <w:p w14:paraId="5874F5BA"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Reinforced concrete materials and additives</w:t>
            </w:r>
          </w:p>
        </w:tc>
        <w:tc>
          <w:tcPr>
            <w:tcW w:w="3223" w:type="dxa"/>
            <w:tcBorders>
              <w:left w:val="single" w:sz="4" w:space="0" w:color="auto"/>
              <w:right w:val="single" w:sz="4" w:space="0" w:color="auto"/>
            </w:tcBorders>
          </w:tcPr>
          <w:p w14:paraId="1A03C520"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Borders>
              <w:left w:val="single" w:sz="4" w:space="0" w:color="auto"/>
            </w:tcBorders>
          </w:tcPr>
          <w:p w14:paraId="1DAE2D53"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No</w:t>
            </w:r>
          </w:p>
        </w:tc>
      </w:tr>
      <w:tr w:rsidR="00A97F06" w:rsidRPr="00A97F06" w14:paraId="02C9E2AA" w14:textId="77777777" w:rsidTr="00A36574">
        <w:trPr>
          <w:tblHeader/>
        </w:trPr>
        <w:tc>
          <w:tcPr>
            <w:tcW w:w="3936" w:type="dxa"/>
          </w:tcPr>
          <w:p w14:paraId="2A0DB4A6"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Tunnel boring machines</w:t>
            </w:r>
          </w:p>
        </w:tc>
        <w:tc>
          <w:tcPr>
            <w:tcW w:w="3223" w:type="dxa"/>
            <w:shd w:val="clear" w:color="auto" w:fill="auto"/>
          </w:tcPr>
          <w:p w14:paraId="6AD80B2F" w14:textId="2602E6EF" w:rsidR="0056761B" w:rsidRPr="00A97F06" w:rsidRDefault="00EB2185" w:rsidP="00A36574">
            <w:pPr>
              <w:rPr>
                <w:rFonts w:asciiTheme="minorHAnsi" w:hAnsiTheme="minorHAnsi" w:cs="Arial"/>
                <w:bCs/>
                <w:kern w:val="32"/>
                <w:sz w:val="22"/>
                <w:szCs w:val="22"/>
                <w:lang w:eastAsia="en-US"/>
              </w:rPr>
            </w:pPr>
            <w:r>
              <w:rPr>
                <w:rFonts w:asciiTheme="minorHAnsi" w:hAnsiTheme="minorHAnsi" w:cs="Arial"/>
                <w:bCs/>
                <w:kern w:val="32"/>
                <w:sz w:val="22"/>
                <w:szCs w:val="22"/>
                <w:lang w:eastAsia="en-US"/>
              </w:rPr>
              <w:t>No</w:t>
            </w:r>
          </w:p>
        </w:tc>
        <w:tc>
          <w:tcPr>
            <w:tcW w:w="1857" w:type="dxa"/>
            <w:shd w:val="clear" w:color="auto" w:fill="auto"/>
          </w:tcPr>
          <w:p w14:paraId="7D3203D4"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4282C2CD" w14:textId="77777777" w:rsidTr="00A36574">
        <w:trPr>
          <w:tblHeader/>
        </w:trPr>
        <w:tc>
          <w:tcPr>
            <w:tcW w:w="3936" w:type="dxa"/>
          </w:tcPr>
          <w:p w14:paraId="160956F9"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Explosives and blasting materials</w:t>
            </w:r>
          </w:p>
        </w:tc>
        <w:tc>
          <w:tcPr>
            <w:tcW w:w="3223" w:type="dxa"/>
            <w:shd w:val="clear" w:color="auto" w:fill="auto"/>
          </w:tcPr>
          <w:p w14:paraId="7F5A3F4F"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shd w:val="clear" w:color="auto" w:fill="auto"/>
          </w:tcPr>
          <w:p w14:paraId="443BBB07"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326E4E32" w14:textId="77777777" w:rsidTr="00A36574">
        <w:trPr>
          <w:tblHeader/>
        </w:trPr>
        <w:tc>
          <w:tcPr>
            <w:tcW w:w="3936" w:type="dxa"/>
            <w:tcBorders>
              <w:right w:val="nil"/>
            </w:tcBorders>
          </w:tcPr>
          <w:p w14:paraId="2D780259"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
                <w:bCs/>
                <w:kern w:val="32"/>
                <w:sz w:val="22"/>
                <w:szCs w:val="22"/>
                <w:lang w:eastAsia="en-US"/>
              </w:rPr>
              <w:t>Services</w:t>
            </w:r>
          </w:p>
        </w:tc>
        <w:tc>
          <w:tcPr>
            <w:tcW w:w="3223" w:type="dxa"/>
          </w:tcPr>
          <w:p w14:paraId="6FFEDBEF" w14:textId="77777777" w:rsidR="0056761B" w:rsidRPr="00A97F06" w:rsidRDefault="0056761B" w:rsidP="00A36574">
            <w:pPr>
              <w:rPr>
                <w:rFonts w:asciiTheme="minorHAnsi" w:hAnsiTheme="minorHAnsi" w:cs="Arial"/>
                <w:bCs/>
                <w:kern w:val="32"/>
                <w:sz w:val="22"/>
                <w:szCs w:val="22"/>
                <w:lang w:eastAsia="en-US"/>
              </w:rPr>
            </w:pPr>
          </w:p>
        </w:tc>
        <w:tc>
          <w:tcPr>
            <w:tcW w:w="1857" w:type="dxa"/>
          </w:tcPr>
          <w:p w14:paraId="1F48443B" w14:textId="77777777" w:rsidR="0056761B" w:rsidRPr="00A97F06" w:rsidRDefault="0056761B" w:rsidP="00A36574">
            <w:pPr>
              <w:rPr>
                <w:rFonts w:asciiTheme="minorHAnsi" w:hAnsiTheme="minorHAnsi" w:cs="Arial"/>
                <w:bCs/>
                <w:kern w:val="32"/>
                <w:sz w:val="22"/>
                <w:szCs w:val="22"/>
                <w:lang w:eastAsia="en-US"/>
              </w:rPr>
            </w:pPr>
          </w:p>
        </w:tc>
      </w:tr>
      <w:tr w:rsidR="00A97F06" w:rsidRPr="00A97F06" w14:paraId="19710933" w14:textId="77777777" w:rsidTr="00A36574">
        <w:trPr>
          <w:tblHeader/>
        </w:trPr>
        <w:tc>
          <w:tcPr>
            <w:tcW w:w="3936" w:type="dxa"/>
          </w:tcPr>
          <w:p w14:paraId="4CBAA7EF"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Geotechnical Investigations and testing</w:t>
            </w:r>
          </w:p>
        </w:tc>
        <w:tc>
          <w:tcPr>
            <w:tcW w:w="3223" w:type="dxa"/>
          </w:tcPr>
          <w:p w14:paraId="2FC95883"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5A556784"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No</w:t>
            </w:r>
          </w:p>
        </w:tc>
      </w:tr>
      <w:tr w:rsidR="00A97F06" w:rsidRPr="00A97F06" w14:paraId="2A7D0BB8" w14:textId="77777777" w:rsidTr="00A36574">
        <w:trPr>
          <w:tblHeader/>
        </w:trPr>
        <w:tc>
          <w:tcPr>
            <w:tcW w:w="3936" w:type="dxa"/>
          </w:tcPr>
          <w:p w14:paraId="207A9FA1"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Survey</w:t>
            </w:r>
          </w:p>
        </w:tc>
        <w:tc>
          <w:tcPr>
            <w:tcW w:w="3223" w:type="dxa"/>
          </w:tcPr>
          <w:p w14:paraId="1B4A9C83"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186309D6"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No</w:t>
            </w:r>
          </w:p>
        </w:tc>
      </w:tr>
      <w:tr w:rsidR="00A97F06" w:rsidRPr="00A97F06" w14:paraId="471701CC" w14:textId="77777777" w:rsidTr="00A36574">
        <w:trPr>
          <w:tblHeader/>
        </w:trPr>
        <w:tc>
          <w:tcPr>
            <w:tcW w:w="3936" w:type="dxa"/>
          </w:tcPr>
          <w:p w14:paraId="1A37556F"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Environmental management services</w:t>
            </w:r>
          </w:p>
        </w:tc>
        <w:tc>
          <w:tcPr>
            <w:tcW w:w="3223" w:type="dxa"/>
          </w:tcPr>
          <w:p w14:paraId="57D530A8"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28B872C0"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No</w:t>
            </w:r>
          </w:p>
        </w:tc>
      </w:tr>
      <w:tr w:rsidR="00A97F06" w:rsidRPr="00A97F06" w14:paraId="64076599" w14:textId="77777777" w:rsidTr="00A36574">
        <w:trPr>
          <w:tblHeader/>
        </w:trPr>
        <w:tc>
          <w:tcPr>
            <w:tcW w:w="3936" w:type="dxa"/>
          </w:tcPr>
          <w:p w14:paraId="58ACC4FA"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Consulting</w:t>
            </w:r>
          </w:p>
        </w:tc>
        <w:tc>
          <w:tcPr>
            <w:tcW w:w="3223" w:type="dxa"/>
          </w:tcPr>
          <w:p w14:paraId="770D8ACD"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5D92CE76"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4C60D96A" w14:textId="77777777" w:rsidTr="00A36574">
        <w:trPr>
          <w:tblHeader/>
        </w:trPr>
        <w:tc>
          <w:tcPr>
            <w:tcW w:w="3936" w:type="dxa"/>
          </w:tcPr>
          <w:p w14:paraId="0AD18B88"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lastRenderedPageBreak/>
              <w:t>Owners advisors</w:t>
            </w:r>
          </w:p>
        </w:tc>
        <w:tc>
          <w:tcPr>
            <w:tcW w:w="3223" w:type="dxa"/>
          </w:tcPr>
          <w:p w14:paraId="23E297EE"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46EB4FCA"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27E5A1A9" w14:textId="77777777" w:rsidTr="00A36574">
        <w:trPr>
          <w:tblHeader/>
        </w:trPr>
        <w:tc>
          <w:tcPr>
            <w:tcW w:w="3936" w:type="dxa"/>
          </w:tcPr>
          <w:p w14:paraId="3A8199F7"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Road and bridgeworks</w:t>
            </w:r>
          </w:p>
        </w:tc>
        <w:tc>
          <w:tcPr>
            <w:tcW w:w="3223" w:type="dxa"/>
          </w:tcPr>
          <w:p w14:paraId="18FC6622"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25E6F22E"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47F63EDD" w14:textId="77777777" w:rsidTr="00A36574">
        <w:trPr>
          <w:tblHeader/>
        </w:trPr>
        <w:tc>
          <w:tcPr>
            <w:tcW w:w="3936" w:type="dxa"/>
          </w:tcPr>
          <w:p w14:paraId="2F7786CB"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Camp accommodation and services</w:t>
            </w:r>
          </w:p>
        </w:tc>
        <w:tc>
          <w:tcPr>
            <w:tcW w:w="3223" w:type="dxa"/>
          </w:tcPr>
          <w:p w14:paraId="177AEEA5"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6221DBB3"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365327B3" w14:textId="77777777" w:rsidTr="00A36574">
        <w:trPr>
          <w:tblHeader/>
        </w:trPr>
        <w:tc>
          <w:tcPr>
            <w:tcW w:w="3936" w:type="dxa"/>
          </w:tcPr>
          <w:p w14:paraId="4CD68026"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Environmental works</w:t>
            </w:r>
          </w:p>
        </w:tc>
        <w:tc>
          <w:tcPr>
            <w:tcW w:w="3223" w:type="dxa"/>
          </w:tcPr>
          <w:p w14:paraId="5BFEFFCE"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60A85F0C"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731BA2F4" w14:textId="77777777" w:rsidTr="00A36574">
        <w:trPr>
          <w:tblHeader/>
        </w:trPr>
        <w:tc>
          <w:tcPr>
            <w:tcW w:w="3936" w:type="dxa"/>
          </w:tcPr>
          <w:p w14:paraId="2F26DDC9"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Exploratory works</w:t>
            </w:r>
          </w:p>
        </w:tc>
        <w:tc>
          <w:tcPr>
            <w:tcW w:w="3223" w:type="dxa"/>
          </w:tcPr>
          <w:p w14:paraId="0117471C"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750F9D8A"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490EBADC" w14:textId="77777777" w:rsidTr="00A36574">
        <w:trPr>
          <w:tblHeader/>
        </w:trPr>
        <w:tc>
          <w:tcPr>
            <w:tcW w:w="3936" w:type="dxa"/>
          </w:tcPr>
          <w:p w14:paraId="06475EB5"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Civil works</w:t>
            </w:r>
          </w:p>
        </w:tc>
        <w:tc>
          <w:tcPr>
            <w:tcW w:w="3223" w:type="dxa"/>
          </w:tcPr>
          <w:p w14:paraId="7B09072A"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2464C60E"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66EDEBBC" w14:textId="77777777" w:rsidTr="00A36574">
        <w:trPr>
          <w:tblHeader/>
        </w:trPr>
        <w:tc>
          <w:tcPr>
            <w:tcW w:w="3936" w:type="dxa"/>
          </w:tcPr>
          <w:p w14:paraId="55237777"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Marine works</w:t>
            </w:r>
          </w:p>
        </w:tc>
        <w:tc>
          <w:tcPr>
            <w:tcW w:w="3223" w:type="dxa"/>
          </w:tcPr>
          <w:p w14:paraId="4CAAFF80"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5718A139"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7B3B302D" w14:textId="77777777" w:rsidTr="00A36574">
        <w:trPr>
          <w:tblHeader/>
        </w:trPr>
        <w:tc>
          <w:tcPr>
            <w:tcW w:w="3936" w:type="dxa"/>
          </w:tcPr>
          <w:p w14:paraId="507977F1"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Tunnelling</w:t>
            </w:r>
          </w:p>
        </w:tc>
        <w:tc>
          <w:tcPr>
            <w:tcW w:w="3223" w:type="dxa"/>
          </w:tcPr>
          <w:p w14:paraId="5EFB40ED"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67F69EE9"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0B86A5C3" w14:textId="77777777" w:rsidTr="00A36574">
        <w:trPr>
          <w:tblHeader/>
        </w:trPr>
        <w:tc>
          <w:tcPr>
            <w:tcW w:w="3936" w:type="dxa"/>
          </w:tcPr>
          <w:p w14:paraId="28B41EE4"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Electrical &amp; mechanical works</w:t>
            </w:r>
          </w:p>
        </w:tc>
        <w:tc>
          <w:tcPr>
            <w:tcW w:w="3223" w:type="dxa"/>
          </w:tcPr>
          <w:p w14:paraId="2111E413"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46677F2C" w14:textId="77777777" w:rsidR="0056761B" w:rsidRPr="00A97F06" w:rsidDel="00CB3189"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54F2D55A" w14:textId="77777777" w:rsidTr="00A36574">
        <w:trPr>
          <w:tblHeader/>
        </w:trPr>
        <w:tc>
          <w:tcPr>
            <w:tcW w:w="3936" w:type="dxa"/>
          </w:tcPr>
          <w:p w14:paraId="4791D719"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HV works</w:t>
            </w:r>
          </w:p>
        </w:tc>
        <w:tc>
          <w:tcPr>
            <w:tcW w:w="3223" w:type="dxa"/>
          </w:tcPr>
          <w:p w14:paraId="40F5A8D5"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2B5AC98C"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r w:rsidR="00A97F06" w:rsidRPr="00A97F06" w14:paraId="079E5A71" w14:textId="77777777" w:rsidTr="00A36574">
        <w:trPr>
          <w:tblHeader/>
        </w:trPr>
        <w:tc>
          <w:tcPr>
            <w:tcW w:w="3936" w:type="dxa"/>
          </w:tcPr>
          <w:p w14:paraId="02EFC134"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Transport</w:t>
            </w:r>
          </w:p>
        </w:tc>
        <w:tc>
          <w:tcPr>
            <w:tcW w:w="3223" w:type="dxa"/>
          </w:tcPr>
          <w:p w14:paraId="42D3A3C2"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c>
          <w:tcPr>
            <w:tcW w:w="1857" w:type="dxa"/>
          </w:tcPr>
          <w:p w14:paraId="4C3E2856" w14:textId="77777777" w:rsidR="0056761B" w:rsidRPr="00A97F06" w:rsidRDefault="0056761B" w:rsidP="00A36574">
            <w:pPr>
              <w:rPr>
                <w:rFonts w:asciiTheme="minorHAnsi" w:hAnsiTheme="minorHAnsi" w:cs="Arial"/>
                <w:bCs/>
                <w:kern w:val="32"/>
                <w:sz w:val="22"/>
                <w:szCs w:val="22"/>
                <w:lang w:eastAsia="en-US"/>
              </w:rPr>
            </w:pPr>
            <w:r w:rsidRPr="00A97F06">
              <w:rPr>
                <w:rFonts w:asciiTheme="minorHAnsi" w:hAnsiTheme="minorHAnsi" w:cs="Arial"/>
                <w:bCs/>
                <w:kern w:val="32"/>
                <w:sz w:val="22"/>
                <w:szCs w:val="22"/>
                <w:lang w:eastAsia="en-US"/>
              </w:rPr>
              <w:t>Yes</w:t>
            </w:r>
          </w:p>
        </w:tc>
      </w:tr>
    </w:tbl>
    <w:p w14:paraId="61004371" w14:textId="77777777" w:rsidR="004F6AA9" w:rsidRPr="00845FC8" w:rsidRDefault="004F6AA9" w:rsidP="0056761B">
      <w:pPr>
        <w:shd w:val="clear" w:color="auto" w:fill="FFFFFF"/>
        <w:spacing w:before="0" w:after="0"/>
        <w:rPr>
          <w:rFonts w:cs="Arial"/>
          <w:bCs/>
          <w:kern w:val="32"/>
          <w:sz w:val="16"/>
          <w:szCs w:val="16"/>
          <w:lang w:eastAsia="en-US"/>
        </w:rPr>
      </w:pPr>
      <w:r w:rsidRPr="00845FC8">
        <w:rPr>
          <w:rFonts w:cs="Arial"/>
          <w:bCs/>
          <w:kern w:val="32"/>
          <w:sz w:val="16"/>
          <w:szCs w:val="16"/>
          <w:lang w:eastAsia="en-US"/>
        </w:rPr>
        <w:t>Disclaimer: The information provided in the table above is based on an initial assessment by the company. Any questions or issues should be raised with the project contact.</w:t>
      </w:r>
    </w:p>
    <w:p w14:paraId="62282E33" w14:textId="77777777" w:rsidR="0056761B" w:rsidRPr="00A97F06" w:rsidRDefault="0056761B" w:rsidP="0056761B">
      <w:pPr>
        <w:shd w:val="clear" w:color="auto" w:fill="FFFFFF"/>
        <w:spacing w:before="0" w:after="0"/>
        <w:rPr>
          <w:rFonts w:cs="Arial"/>
          <w:bCs/>
          <w:kern w:val="32"/>
          <w:szCs w:val="22"/>
          <w:lang w:eastAsia="en-US"/>
        </w:rPr>
      </w:pPr>
    </w:p>
    <w:p w14:paraId="3A8146CD" w14:textId="77777777" w:rsidR="004F6AA9" w:rsidRPr="00A97F06" w:rsidRDefault="004F6AA9" w:rsidP="0056761B">
      <w:pPr>
        <w:shd w:val="clear" w:color="auto" w:fill="FFFFFF"/>
        <w:spacing w:before="0" w:after="0" w:line="360" w:lineRule="auto"/>
        <w:rPr>
          <w:rFonts w:cs="Arial"/>
          <w:b/>
          <w:szCs w:val="22"/>
        </w:rPr>
      </w:pPr>
      <w:r w:rsidRPr="00A97F06">
        <w:rPr>
          <w:rFonts w:cs="Arial"/>
          <w:b/>
          <w:szCs w:val="22"/>
        </w:rPr>
        <w:t>Explanation for item(s) in list above where it is indicated ‘No Opportunities for Australian entities’</w:t>
      </w:r>
    </w:p>
    <w:sdt>
      <w:sdtPr>
        <w:id w:val="739992775"/>
      </w:sdtPr>
      <w:sdtEndPr/>
      <w:sdtContent>
        <w:p w14:paraId="286BC352" w14:textId="0DC1DAAC" w:rsidR="0072090F" w:rsidRDefault="00995916" w:rsidP="00014FCB">
          <w:r>
            <w:t xml:space="preserve">The tunnel boring machines required for tunnelling work on the Project are complex heavy machines that are designed and built to order. </w:t>
          </w:r>
          <w:r w:rsidR="009459DB">
            <w:t xml:space="preserve">Under the EPC contract, the Contractor will be responsible for procuring delivery of tunnel boring machine(s). </w:t>
          </w:r>
          <w:r>
            <w:t xml:space="preserve">Australian entities </w:t>
          </w:r>
          <w:r w:rsidR="009459DB">
            <w:t xml:space="preserve">do not </w:t>
          </w:r>
          <w:r>
            <w:t>have the capability to produce tunnel boring machines, which means that they will need to be designed</w:t>
          </w:r>
          <w:r w:rsidR="009459DB">
            <w:t>,</w:t>
          </w:r>
          <w:r>
            <w:t xml:space="preserve"> manufactured </w:t>
          </w:r>
          <w:r w:rsidR="009459DB">
            <w:t>and supplied by a leading international provider.</w:t>
          </w:r>
        </w:p>
      </w:sdtContent>
    </w:sdt>
    <w:p w14:paraId="4930D636" w14:textId="77777777" w:rsidR="0056761B" w:rsidRPr="00A97F06" w:rsidRDefault="0056761B" w:rsidP="0072090F">
      <w:pPr>
        <w:shd w:val="clear" w:color="auto" w:fill="FFFFFF"/>
        <w:spacing w:before="0" w:after="0"/>
        <w:rPr>
          <w:rFonts w:cs="Arial"/>
          <w:bCs/>
          <w:kern w:val="32"/>
          <w:szCs w:val="22"/>
          <w:lang w:eastAsia="en-US"/>
        </w:rPr>
      </w:pPr>
      <w:r w:rsidRPr="00A97F06">
        <w:rPr>
          <w:rFonts w:cs="Arial"/>
          <w:bCs/>
          <w:kern w:val="32"/>
          <w:szCs w:val="22"/>
          <w:lang w:eastAsia="en-US"/>
        </w:rPr>
        <w:br w:type="page"/>
      </w:r>
    </w:p>
    <w:p w14:paraId="7196C303" w14:textId="77777777" w:rsidR="004F6AA9" w:rsidRPr="00A97F06" w:rsidRDefault="004F6AA9" w:rsidP="0056761B">
      <w:pPr>
        <w:shd w:val="clear" w:color="auto" w:fill="FFFFFF"/>
        <w:spacing w:before="0" w:after="0" w:line="360" w:lineRule="auto"/>
        <w:rPr>
          <w:rFonts w:cs="Arial"/>
          <w:szCs w:val="22"/>
        </w:rPr>
      </w:pPr>
    </w:p>
    <w:p w14:paraId="3FC42B6C" w14:textId="77777777" w:rsidR="004F6AA9" w:rsidRPr="00A97F06" w:rsidRDefault="004F6AA9" w:rsidP="0056761B">
      <w:pPr>
        <w:shd w:val="clear" w:color="auto" w:fill="FFFFFF"/>
        <w:spacing w:before="0" w:after="0" w:line="360" w:lineRule="auto"/>
        <w:rPr>
          <w:rFonts w:cs="Arial"/>
          <w:b/>
          <w:szCs w:val="22"/>
          <w:u w:val="single"/>
        </w:rPr>
      </w:pPr>
      <w:r w:rsidRPr="00A97F06">
        <w:rPr>
          <w:rFonts w:cs="Arial"/>
          <w:b/>
          <w:szCs w:val="22"/>
          <w:u w:val="single"/>
        </w:rPr>
        <w:t>3. Standards to be used in the project</w:t>
      </w:r>
    </w:p>
    <w:p w14:paraId="63C2A646" w14:textId="661403FD" w:rsidR="0056761B" w:rsidRDefault="0072090F" w:rsidP="0056761B">
      <w:pPr>
        <w:shd w:val="clear" w:color="auto" w:fill="FFFFFF"/>
        <w:spacing w:before="0" w:after="0"/>
      </w:pPr>
      <w:r w:rsidRPr="00643ABD">
        <w:t xml:space="preserve">Snowy Hydro will ensure that the Project is delivered in accordance with Australian market best practice, which in turn is international best practice. Snowy Hydro has developed its “Employer’s Requirements” with respect to the </w:t>
      </w:r>
      <w:r>
        <w:t>Project</w:t>
      </w:r>
      <w:r w:rsidRPr="00643ABD">
        <w:t xml:space="preserve"> and continues to engage with </w:t>
      </w:r>
      <w:r>
        <w:t>the Contractor</w:t>
      </w:r>
      <w:r w:rsidRPr="00643ABD">
        <w:t xml:space="preserve"> in relation to the content of the Employer’s Requirements. Those requirements specify relevant Australian standards as the primary standards to guide the design, supported by </w:t>
      </w:r>
      <w:r>
        <w:t xml:space="preserve">recognised </w:t>
      </w:r>
      <w:r w:rsidRPr="00643ABD">
        <w:t>International Standards where necessary</w:t>
      </w:r>
      <w:r>
        <w:t xml:space="preserve">. Snowy Hydro engaged SMEC Australia Pty Limited as </w:t>
      </w:r>
      <w:proofErr w:type="gramStart"/>
      <w:r>
        <w:t>its</w:t>
      </w:r>
      <w:proofErr w:type="gramEnd"/>
      <w:r>
        <w:t xml:space="preserve"> “Owner’s Engineer” and </w:t>
      </w:r>
      <w:r w:rsidR="003A2833">
        <w:t>worked</w:t>
      </w:r>
      <w:r>
        <w:t xml:space="preserve"> with SMEC Australia to finalise and clearly communicate the standards for the Project. The Contractor will then need to ensure that those standards are met with respect to key goods and services. It is anticipated that Australian entities will have the ability to meet the required standards.</w:t>
      </w:r>
    </w:p>
    <w:p w14:paraId="3D71B5AE" w14:textId="77777777" w:rsidR="0072090F" w:rsidRPr="00A97F06" w:rsidRDefault="0072090F" w:rsidP="0056761B">
      <w:pPr>
        <w:shd w:val="clear" w:color="auto" w:fill="FFFFFF"/>
        <w:spacing w:before="0" w:after="0"/>
        <w:rPr>
          <w:rFonts w:cs="Arial"/>
          <w:szCs w:val="22"/>
        </w:rPr>
      </w:pPr>
    </w:p>
    <w:p w14:paraId="4E539D6A" w14:textId="77777777" w:rsidR="004F6AA9" w:rsidRPr="00A97F06" w:rsidRDefault="004F6AA9" w:rsidP="0056761B">
      <w:pPr>
        <w:shd w:val="clear" w:color="auto" w:fill="FFFFFF"/>
        <w:spacing w:before="0" w:after="0" w:line="360" w:lineRule="auto"/>
        <w:rPr>
          <w:rFonts w:cs="Arial"/>
          <w:b/>
          <w:szCs w:val="22"/>
          <w:u w:val="single"/>
        </w:rPr>
      </w:pPr>
      <w:r w:rsidRPr="00A97F06">
        <w:rPr>
          <w:rFonts w:cs="Arial"/>
          <w:b/>
          <w:szCs w:val="22"/>
          <w:u w:val="single"/>
        </w:rPr>
        <w:t>4. AIP activities to be undertaken by the Project Proponent</w:t>
      </w:r>
    </w:p>
    <w:p w14:paraId="78CAD71A" w14:textId="77777777" w:rsidR="004F6AA9" w:rsidRPr="00A97F06" w:rsidRDefault="004F6AA9" w:rsidP="0056761B">
      <w:pPr>
        <w:shd w:val="clear" w:color="auto" w:fill="FFFFFF"/>
        <w:spacing w:before="0" w:after="0"/>
        <w:rPr>
          <w:rFonts w:cs="Arial"/>
          <w:bCs/>
          <w:kern w:val="32"/>
          <w:szCs w:val="22"/>
          <w:lang w:eastAsia="en-US"/>
        </w:rPr>
      </w:pPr>
      <w:r w:rsidRPr="00A97F06">
        <w:rPr>
          <w:rFonts w:cs="Arial"/>
          <w:bCs/>
          <w:kern w:val="32"/>
          <w:szCs w:val="22"/>
          <w:lang w:eastAsia="en-US"/>
        </w:rPr>
        <w:t>Snowy Hydro will:</w:t>
      </w:r>
    </w:p>
    <w:p w14:paraId="18AAFA5B" w14:textId="77777777" w:rsidR="0056761B" w:rsidRPr="00A97F06" w:rsidRDefault="0056761B" w:rsidP="0056761B">
      <w:pPr>
        <w:shd w:val="clear" w:color="auto" w:fill="FFFFFF"/>
        <w:spacing w:before="0" w:after="0"/>
        <w:rPr>
          <w:rFonts w:cs="Arial"/>
          <w:bCs/>
          <w:kern w:val="32"/>
          <w:szCs w:val="22"/>
          <w:lang w:eastAsia="en-US"/>
        </w:rPr>
      </w:pPr>
    </w:p>
    <w:p w14:paraId="72533CE9" w14:textId="14AD091C" w:rsidR="004F6AA9" w:rsidRPr="00A97F06" w:rsidRDefault="004F6AA9" w:rsidP="0056761B">
      <w:pPr>
        <w:shd w:val="clear" w:color="auto" w:fill="FFFFFF"/>
        <w:spacing w:before="0" w:after="0"/>
        <w:rPr>
          <w:rFonts w:cs="Arial"/>
          <w:bCs/>
          <w:kern w:val="32"/>
          <w:szCs w:val="22"/>
          <w:lang w:eastAsia="en-US"/>
        </w:rPr>
      </w:pPr>
      <w:r w:rsidRPr="00A97F06">
        <w:rPr>
          <w:rFonts w:cs="Arial"/>
          <w:bCs/>
          <w:kern w:val="32"/>
          <w:szCs w:val="22"/>
          <w:lang w:eastAsia="en-US"/>
        </w:rPr>
        <w:t xml:space="preserve">• </w:t>
      </w:r>
      <w:r w:rsidR="00133590">
        <w:rPr>
          <w:rFonts w:cs="Arial"/>
          <w:bCs/>
          <w:kern w:val="32"/>
          <w:szCs w:val="22"/>
          <w:lang w:eastAsia="en-US"/>
        </w:rPr>
        <w:t xml:space="preserve">contractually </w:t>
      </w:r>
      <w:r w:rsidRPr="00A97F06">
        <w:rPr>
          <w:rFonts w:cs="Arial"/>
          <w:bCs/>
          <w:kern w:val="32"/>
          <w:szCs w:val="22"/>
          <w:lang w:eastAsia="en-US"/>
        </w:rPr>
        <w:t xml:space="preserve">require the Contractor to comply with </w:t>
      </w:r>
      <w:r w:rsidR="0072090F">
        <w:rPr>
          <w:rFonts w:cs="Arial"/>
          <w:bCs/>
          <w:kern w:val="32"/>
          <w:szCs w:val="22"/>
          <w:lang w:eastAsia="en-US"/>
        </w:rPr>
        <w:t>the Project’s</w:t>
      </w:r>
      <w:r w:rsidRPr="00A97F06">
        <w:rPr>
          <w:rFonts w:cs="Arial"/>
          <w:bCs/>
          <w:kern w:val="32"/>
          <w:szCs w:val="22"/>
          <w:lang w:eastAsia="en-US"/>
        </w:rPr>
        <w:t xml:space="preserve"> AIP Plan, collect evidence and retain records of AIP Plan implementation;</w:t>
      </w:r>
    </w:p>
    <w:p w14:paraId="7E54BE43" w14:textId="77777777" w:rsidR="004F6AA9" w:rsidRPr="00A97F06" w:rsidRDefault="004F6AA9" w:rsidP="0056761B">
      <w:pPr>
        <w:shd w:val="clear" w:color="auto" w:fill="FFFFFF"/>
        <w:spacing w:before="0" w:after="0"/>
        <w:rPr>
          <w:rFonts w:cs="Arial"/>
          <w:bCs/>
          <w:kern w:val="32"/>
          <w:szCs w:val="22"/>
          <w:lang w:eastAsia="en-US"/>
        </w:rPr>
      </w:pPr>
      <w:r w:rsidRPr="00A97F06">
        <w:rPr>
          <w:rFonts w:cs="Arial"/>
          <w:bCs/>
          <w:kern w:val="32"/>
          <w:szCs w:val="22"/>
          <w:lang w:eastAsia="en-US"/>
        </w:rPr>
        <w:t>• ensure best practice record-keeping across the Project;</w:t>
      </w:r>
    </w:p>
    <w:p w14:paraId="141407DA" w14:textId="77777777" w:rsidR="004F6AA9" w:rsidRPr="00A97F06" w:rsidRDefault="004F6AA9" w:rsidP="0056761B">
      <w:pPr>
        <w:shd w:val="clear" w:color="auto" w:fill="FFFFFF"/>
        <w:spacing w:before="0" w:after="0"/>
        <w:rPr>
          <w:rFonts w:cs="Arial"/>
          <w:bCs/>
          <w:kern w:val="32"/>
          <w:szCs w:val="22"/>
          <w:lang w:eastAsia="en-US"/>
        </w:rPr>
      </w:pPr>
      <w:r w:rsidRPr="00A97F06">
        <w:rPr>
          <w:rFonts w:cs="Arial"/>
          <w:bCs/>
          <w:kern w:val="32"/>
          <w:szCs w:val="22"/>
          <w:lang w:eastAsia="en-US"/>
        </w:rPr>
        <w:t>• utilise Snowy Hydro’s robust information management procedures, which have been developed for the broader Project;</w:t>
      </w:r>
    </w:p>
    <w:p w14:paraId="5F7E053E" w14:textId="77777777" w:rsidR="004F6AA9" w:rsidRPr="00A97F06" w:rsidRDefault="004F6AA9" w:rsidP="0056761B">
      <w:pPr>
        <w:shd w:val="clear" w:color="auto" w:fill="FFFFFF"/>
        <w:spacing w:before="0" w:after="0"/>
        <w:rPr>
          <w:rFonts w:cs="Arial"/>
          <w:bCs/>
          <w:kern w:val="32"/>
          <w:szCs w:val="22"/>
          <w:lang w:eastAsia="en-US"/>
        </w:rPr>
      </w:pPr>
      <w:r w:rsidRPr="00A97F06">
        <w:rPr>
          <w:rFonts w:cs="Arial"/>
          <w:bCs/>
          <w:kern w:val="32"/>
          <w:szCs w:val="22"/>
          <w:lang w:eastAsia="en-US"/>
        </w:rPr>
        <w:t>• develop ongoing monitoring and reporting systems with respect to participation by Australian entities in the Project;</w:t>
      </w:r>
      <w:r w:rsidR="007E7C0A" w:rsidRPr="00A97F06">
        <w:rPr>
          <w:rFonts w:cs="Arial"/>
          <w:bCs/>
          <w:kern w:val="32"/>
          <w:szCs w:val="22"/>
          <w:lang w:eastAsia="en-US"/>
        </w:rPr>
        <w:t xml:space="preserve"> and</w:t>
      </w:r>
    </w:p>
    <w:p w14:paraId="009C0D92" w14:textId="77777777" w:rsidR="004F6AA9" w:rsidRPr="00A97F06" w:rsidRDefault="004F6AA9" w:rsidP="0056761B">
      <w:pPr>
        <w:shd w:val="clear" w:color="auto" w:fill="FFFFFF"/>
        <w:spacing w:before="0" w:after="0"/>
        <w:rPr>
          <w:rFonts w:cs="Arial"/>
          <w:bCs/>
          <w:kern w:val="32"/>
          <w:szCs w:val="22"/>
          <w:lang w:eastAsia="en-US"/>
        </w:rPr>
      </w:pPr>
      <w:r w:rsidRPr="00A97F06">
        <w:rPr>
          <w:rFonts w:cs="Arial"/>
          <w:bCs/>
          <w:kern w:val="32"/>
          <w:szCs w:val="22"/>
          <w:lang w:eastAsia="en-US"/>
        </w:rPr>
        <w:t>• allocat</w:t>
      </w:r>
      <w:r w:rsidR="007E7C0A" w:rsidRPr="00A97F06">
        <w:rPr>
          <w:rFonts w:cs="Arial"/>
          <w:bCs/>
          <w:kern w:val="32"/>
          <w:szCs w:val="22"/>
          <w:lang w:eastAsia="en-US"/>
        </w:rPr>
        <w:t>e internal resources to ensure compliance and monitor</w:t>
      </w:r>
      <w:r w:rsidRPr="00A97F06">
        <w:rPr>
          <w:rFonts w:cs="Arial"/>
          <w:bCs/>
          <w:kern w:val="32"/>
          <w:szCs w:val="22"/>
          <w:lang w:eastAsia="en-US"/>
        </w:rPr>
        <w:t xml:space="preserve"> compliance with</w:t>
      </w:r>
      <w:r w:rsidR="007E7C0A" w:rsidRPr="00A97F06">
        <w:rPr>
          <w:rFonts w:cs="Arial"/>
          <w:bCs/>
          <w:kern w:val="32"/>
          <w:szCs w:val="22"/>
          <w:lang w:eastAsia="en-US"/>
        </w:rPr>
        <w:t xml:space="preserve"> the</w:t>
      </w:r>
      <w:r w:rsidRPr="00A97F06">
        <w:rPr>
          <w:rFonts w:cs="Arial"/>
          <w:bCs/>
          <w:kern w:val="32"/>
          <w:szCs w:val="22"/>
          <w:lang w:eastAsia="en-US"/>
        </w:rPr>
        <w:t xml:space="preserve"> AIP Plan.</w:t>
      </w:r>
    </w:p>
    <w:p w14:paraId="7DC138AE" w14:textId="77777777" w:rsidR="0056761B" w:rsidRPr="00A97F06" w:rsidRDefault="0056761B" w:rsidP="0056761B">
      <w:pPr>
        <w:shd w:val="clear" w:color="auto" w:fill="FFFFFF"/>
        <w:spacing w:before="0" w:after="0"/>
        <w:rPr>
          <w:rFonts w:cs="Arial"/>
          <w:szCs w:val="22"/>
        </w:rPr>
      </w:pPr>
    </w:p>
    <w:p w14:paraId="78A87693" w14:textId="77777777" w:rsidR="004F6AA9" w:rsidRPr="00A97F06" w:rsidRDefault="004F6AA9" w:rsidP="0056761B">
      <w:pPr>
        <w:shd w:val="clear" w:color="auto" w:fill="FFFFFF"/>
        <w:spacing w:before="0" w:after="0" w:line="360" w:lineRule="auto"/>
        <w:rPr>
          <w:rFonts w:cs="Arial"/>
          <w:b/>
          <w:szCs w:val="22"/>
          <w:u w:val="single"/>
        </w:rPr>
      </w:pPr>
      <w:r w:rsidRPr="00A97F06">
        <w:rPr>
          <w:rFonts w:cs="Arial"/>
          <w:b/>
          <w:szCs w:val="22"/>
          <w:u w:val="single"/>
        </w:rPr>
        <w:t>5. AIP activities to be undertaken by procurement entities</w:t>
      </w:r>
    </w:p>
    <w:p w14:paraId="71D9EB72" w14:textId="77777777" w:rsidR="00ED412E" w:rsidRDefault="0072090F" w:rsidP="0056761B">
      <w:pPr>
        <w:shd w:val="clear" w:color="auto" w:fill="FFFFFF"/>
        <w:spacing w:before="0" w:after="0"/>
        <w:rPr>
          <w:rFonts w:cs="Arial"/>
          <w:szCs w:val="22"/>
        </w:rPr>
      </w:pPr>
      <w:r>
        <w:rPr>
          <w:rFonts w:cs="Arial"/>
          <w:szCs w:val="22"/>
        </w:rPr>
        <w:t>Under the EPC contract, the Contractor will have primary responsibility for procurement in relation to the Project.</w:t>
      </w:r>
    </w:p>
    <w:p w14:paraId="502A72F8" w14:textId="4F69F75F" w:rsidR="00ED412E" w:rsidRDefault="00ED412E" w:rsidP="00ED412E">
      <w:r>
        <w:rPr>
          <w:rFonts w:cs="Arial"/>
          <w:szCs w:val="22"/>
        </w:rPr>
        <w:t xml:space="preserve">The Contractor will </w:t>
      </w:r>
      <w:r>
        <w:t>maintain</w:t>
      </w:r>
      <w:r w:rsidR="008A101F">
        <w:t xml:space="preserve"> a</w:t>
      </w:r>
      <w:r>
        <w:t xml:space="preserve"> publicly accessible website that will include the following information:</w:t>
      </w:r>
    </w:p>
    <w:p w14:paraId="078965FF" w14:textId="77777777" w:rsidR="00ED412E" w:rsidRDefault="00ED412E" w:rsidP="00ED412E">
      <w:pPr>
        <w:pStyle w:val="ListParagraph"/>
        <w:numPr>
          <w:ilvl w:val="0"/>
          <w:numId w:val="16"/>
        </w:numPr>
      </w:pPr>
      <w:r>
        <w:t>opportunities for Australian entities to participate in the Project;</w:t>
      </w:r>
    </w:p>
    <w:p w14:paraId="3D1A8935" w14:textId="77777777" w:rsidR="00ED412E" w:rsidRDefault="00ED412E" w:rsidP="00ED412E">
      <w:pPr>
        <w:pStyle w:val="ListParagraph"/>
        <w:numPr>
          <w:ilvl w:val="0"/>
          <w:numId w:val="16"/>
        </w:numPr>
      </w:pPr>
      <w:r>
        <w:t>detailed pre-qualification requirements for participation in those opportunities;</w:t>
      </w:r>
    </w:p>
    <w:p w14:paraId="3E0E781E" w14:textId="77777777" w:rsidR="00ED412E" w:rsidRDefault="00ED412E" w:rsidP="00ED412E">
      <w:pPr>
        <w:pStyle w:val="ListParagraph"/>
        <w:numPr>
          <w:ilvl w:val="0"/>
          <w:numId w:val="16"/>
        </w:numPr>
      </w:pPr>
      <w:r>
        <w:t>the required standards for key goods and services in connection with those opportunities, and if those standards are not Australian or international standards, an explanation of the standards; and</w:t>
      </w:r>
    </w:p>
    <w:p w14:paraId="4C22E3C6" w14:textId="77777777" w:rsidR="00ED412E" w:rsidRDefault="00ED412E" w:rsidP="00ED412E">
      <w:pPr>
        <w:pStyle w:val="ListParagraph"/>
        <w:numPr>
          <w:ilvl w:val="0"/>
          <w:numId w:val="16"/>
        </w:numPr>
      </w:pPr>
      <w:r>
        <w:t>contact details for a procurement contact officer for Australian entities to approach with enquiries.</w:t>
      </w:r>
    </w:p>
    <w:p w14:paraId="71890AB4" w14:textId="77777777" w:rsidR="00ED412E" w:rsidRDefault="00ED412E" w:rsidP="00ED412E">
      <w:r>
        <w:t>Furthermore, the Contractor will:</w:t>
      </w:r>
    </w:p>
    <w:p w14:paraId="316C8B2F" w14:textId="77777777" w:rsidR="00ED412E" w:rsidRDefault="00ED412E" w:rsidP="00ED412E">
      <w:pPr>
        <w:pStyle w:val="ListParagraph"/>
        <w:numPr>
          <w:ilvl w:val="0"/>
          <w:numId w:val="17"/>
        </w:numPr>
      </w:pPr>
      <w:r>
        <w:t>offer training, including workshops, demonstrations and technical skills sessions, and advice to Australian entities where the Contractor identifies skill or capability shortages relevant to the Project and where the Project could benefit from such training;</w:t>
      </w:r>
    </w:p>
    <w:p w14:paraId="2C246437" w14:textId="77777777" w:rsidR="00ED412E" w:rsidRDefault="00ED412E" w:rsidP="00ED412E">
      <w:pPr>
        <w:pStyle w:val="ListParagraph"/>
        <w:numPr>
          <w:ilvl w:val="0"/>
          <w:numId w:val="17"/>
        </w:numPr>
      </w:pPr>
      <w:r>
        <w:t>work with Australian industry to share knowledge and provide for technology transfer in a way that is beneficial to the Project;</w:t>
      </w:r>
    </w:p>
    <w:p w14:paraId="0B25592A" w14:textId="77777777" w:rsidR="00ED412E" w:rsidRDefault="00ED412E" w:rsidP="00ED412E">
      <w:pPr>
        <w:pStyle w:val="ListParagraph"/>
        <w:numPr>
          <w:ilvl w:val="0"/>
          <w:numId w:val="17"/>
        </w:numPr>
      </w:pPr>
      <w:r>
        <w:t>encourage Australian entities to participate in innovation and development programs;</w:t>
      </w:r>
    </w:p>
    <w:p w14:paraId="32DA692A" w14:textId="77777777" w:rsidR="00ED412E" w:rsidRDefault="00ED412E" w:rsidP="00ED412E">
      <w:pPr>
        <w:pStyle w:val="ListParagraph"/>
        <w:numPr>
          <w:ilvl w:val="0"/>
          <w:numId w:val="17"/>
        </w:numPr>
      </w:pPr>
      <w:r>
        <w:lastRenderedPageBreak/>
        <w:t xml:space="preserve">provide feedback to unsuccessful Australian entities on the strengths and weaknesses of bids and how to improve competitiveness, including </w:t>
      </w:r>
      <w:r w:rsidRPr="008E4F7F">
        <w:rPr>
          <w:rFonts w:cs="Calibri"/>
        </w:rPr>
        <w:t>recommendations</w:t>
      </w:r>
      <w:r>
        <w:rPr>
          <w:rFonts w:cs="Calibri"/>
          <w:color w:val="1F497D"/>
        </w:rPr>
        <w:t xml:space="preserve"> </w:t>
      </w:r>
      <w:r>
        <w:t>for relevant training and capability development activities;</w:t>
      </w:r>
    </w:p>
    <w:p w14:paraId="00013FFC" w14:textId="77777777" w:rsidR="00ED412E" w:rsidRDefault="00ED412E" w:rsidP="00ED412E">
      <w:pPr>
        <w:pStyle w:val="ListParagraph"/>
        <w:numPr>
          <w:ilvl w:val="0"/>
          <w:numId w:val="17"/>
        </w:numPr>
      </w:pPr>
      <w:r>
        <w:t>encourage Australian entities to adopt best practice standards, and where Australian entities do not meet those standards, provide guidance on how they can; and</w:t>
      </w:r>
    </w:p>
    <w:p w14:paraId="4B006436" w14:textId="77777777" w:rsidR="00ED412E" w:rsidRPr="00ED412E" w:rsidRDefault="00ED412E" w:rsidP="00ED412E">
      <w:pPr>
        <w:pStyle w:val="ListParagraph"/>
        <w:numPr>
          <w:ilvl w:val="0"/>
          <w:numId w:val="17"/>
        </w:numPr>
      </w:pPr>
      <w:r>
        <w:t>provide guidance to local workforce on training required to meet project requirements.</w:t>
      </w:r>
    </w:p>
    <w:p w14:paraId="69115843" w14:textId="77777777" w:rsidR="00ED412E" w:rsidRDefault="00ED412E" w:rsidP="0056761B">
      <w:pPr>
        <w:shd w:val="clear" w:color="auto" w:fill="FFFFFF"/>
        <w:spacing w:before="0" w:after="0"/>
        <w:rPr>
          <w:rFonts w:cs="Arial"/>
          <w:szCs w:val="22"/>
        </w:rPr>
      </w:pPr>
    </w:p>
    <w:p w14:paraId="5973F893" w14:textId="77777777" w:rsidR="00ED412E" w:rsidRPr="00A97F06" w:rsidRDefault="00ED412E" w:rsidP="0056761B">
      <w:pPr>
        <w:shd w:val="clear" w:color="auto" w:fill="FFFFFF"/>
        <w:spacing w:before="0" w:after="0"/>
        <w:rPr>
          <w:rFonts w:cs="Arial"/>
          <w:bCs/>
          <w:kern w:val="32"/>
          <w:szCs w:val="22"/>
          <w:lang w:eastAsia="en-US"/>
        </w:rPr>
      </w:pPr>
    </w:p>
    <w:p w14:paraId="5114115E" w14:textId="77777777" w:rsidR="001D19D4" w:rsidRPr="00A97F06" w:rsidRDefault="003A2833" w:rsidP="0056761B">
      <w:pPr>
        <w:shd w:val="clear" w:color="auto" w:fill="FFFFFF"/>
        <w:spacing w:before="0" w:after="0"/>
        <w:rPr>
          <w:rFonts w:cs="Arial"/>
          <w:bCs/>
          <w:color w:val="005677"/>
          <w:kern w:val="32"/>
          <w:szCs w:val="22"/>
          <w:lang w:eastAsia="en-US"/>
        </w:rPr>
      </w:pPr>
    </w:p>
    <w:sectPr w:rsidR="001D19D4" w:rsidRPr="00A97F06">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00DF4" w15:done="0"/>
  <w15:commentEx w15:paraId="23CD3E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EDBC0" w14:textId="77777777" w:rsidR="00610A54" w:rsidRDefault="0066415F">
      <w:pPr>
        <w:spacing w:before="0" w:after="0"/>
      </w:pPr>
      <w:r>
        <w:separator/>
      </w:r>
    </w:p>
  </w:endnote>
  <w:endnote w:type="continuationSeparator" w:id="0">
    <w:p w14:paraId="23B29987" w14:textId="77777777" w:rsidR="00610A54" w:rsidRDefault="006641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27411" w14:textId="77777777" w:rsidR="00645886" w:rsidRDefault="003A2833" w:rsidP="0078593E">
    <w:pPr>
      <w:pStyle w:val="Footnote"/>
    </w:pPr>
  </w:p>
  <w:p w14:paraId="244BAFC8" w14:textId="77777777" w:rsidR="00391C18" w:rsidRDefault="0056761B" w:rsidP="0078593E">
    <w:pPr>
      <w:pStyle w:val="Footnote"/>
    </w:pPr>
    <w:r>
      <w:t xml:space="preserve">AIP plan </w:t>
    </w:r>
    <w:r w:rsidRPr="0078593E">
      <w:t>Summary</w:t>
    </w:r>
    <w:r>
      <w:t xml:space="preserve"> – Project Phase</w:t>
    </w:r>
  </w:p>
  <w:p w14:paraId="06A34BF3" w14:textId="77777777" w:rsidR="007F331A" w:rsidRDefault="0056761B" w:rsidP="0078593E">
    <w:pPr>
      <w:pStyle w:val="Footnote"/>
    </w:pPr>
    <w:r>
      <w:t>Australian Industry Participation Authority</w:t>
    </w:r>
  </w:p>
  <w:p w14:paraId="41A556E9" w14:textId="77777777" w:rsidR="007F331A" w:rsidRDefault="0056761B" w:rsidP="0078593E">
    <w:pPr>
      <w:pStyle w:val="Footnote"/>
    </w:pPr>
    <w:r>
      <w:t>Version 1.3 January 2018</w:t>
    </w:r>
  </w:p>
  <w:p w14:paraId="7F03F3DE" w14:textId="77777777" w:rsidR="007F331A" w:rsidRPr="002032CF" w:rsidRDefault="003A2833"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56761B" w:rsidRPr="007F331A">
          <w:rPr>
            <w:szCs w:val="16"/>
          </w:rPr>
          <w:fldChar w:fldCharType="begin"/>
        </w:r>
        <w:r w:rsidR="0056761B" w:rsidRPr="007F331A">
          <w:rPr>
            <w:szCs w:val="16"/>
          </w:rPr>
          <w:instrText xml:space="preserve"> PAGE   \* MERGEFORMAT </w:instrText>
        </w:r>
        <w:r w:rsidR="0056761B" w:rsidRPr="007F331A">
          <w:rPr>
            <w:szCs w:val="16"/>
          </w:rPr>
          <w:fldChar w:fldCharType="separate"/>
        </w:r>
        <w:r>
          <w:rPr>
            <w:noProof/>
            <w:szCs w:val="16"/>
          </w:rPr>
          <w:t>1</w:t>
        </w:r>
        <w:r w:rsidR="0056761B"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9A122" w14:textId="77777777" w:rsidR="00610A54" w:rsidRDefault="0066415F">
      <w:pPr>
        <w:spacing w:before="0" w:after="0"/>
      </w:pPr>
      <w:r>
        <w:separator/>
      </w:r>
    </w:p>
  </w:footnote>
  <w:footnote w:type="continuationSeparator" w:id="0">
    <w:p w14:paraId="0698880B" w14:textId="77777777" w:rsidR="00610A54" w:rsidRDefault="0066415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30E3"/>
    <w:multiLevelType w:val="hybridMultilevel"/>
    <w:tmpl w:val="7692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F8B47F1"/>
    <w:multiLevelType w:val="hybridMultilevel"/>
    <w:tmpl w:val="393E7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022434"/>
    <w:multiLevelType w:val="hybridMultilevel"/>
    <w:tmpl w:val="24B0E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535A41"/>
    <w:multiLevelType w:val="hybridMultilevel"/>
    <w:tmpl w:val="F4BC67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E3D1190"/>
    <w:multiLevelType w:val="hybridMultilevel"/>
    <w:tmpl w:val="D5944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CD4993"/>
    <w:multiLevelType w:val="hybridMultilevel"/>
    <w:tmpl w:val="B3E28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924273"/>
    <w:multiLevelType w:val="hybridMultilevel"/>
    <w:tmpl w:val="FACE4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6B4183B"/>
    <w:multiLevelType w:val="hybridMultilevel"/>
    <w:tmpl w:val="94169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8603F79"/>
    <w:multiLevelType w:val="hybridMultilevel"/>
    <w:tmpl w:val="A5E243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F1F2A89"/>
    <w:multiLevelType w:val="hybridMultilevel"/>
    <w:tmpl w:val="DCAA1D8A"/>
    <w:lvl w:ilvl="0" w:tplc="FA7AD14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8C2A8D00">
      <w:start w:val="5"/>
      <w:numFmt w:val="bullet"/>
      <w:lvlText w:val="-"/>
      <w:lvlJc w:val="left"/>
      <w:pPr>
        <w:ind w:left="2520" w:hanging="360"/>
      </w:pPr>
      <w:rPr>
        <w:rFonts w:ascii="Calibri" w:eastAsia="Times New Roman"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0B56B2B"/>
    <w:multiLevelType w:val="hybridMultilevel"/>
    <w:tmpl w:val="217C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8B37255"/>
    <w:multiLevelType w:val="hybridMultilevel"/>
    <w:tmpl w:val="0A0AA3C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nsid w:val="6AB2758F"/>
    <w:multiLevelType w:val="hybridMultilevel"/>
    <w:tmpl w:val="745E9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1357E5"/>
    <w:multiLevelType w:val="hybridMultilevel"/>
    <w:tmpl w:val="8EC0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FD221F"/>
    <w:multiLevelType w:val="hybridMultilevel"/>
    <w:tmpl w:val="8526A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3C061A0"/>
    <w:multiLevelType w:val="hybridMultilevel"/>
    <w:tmpl w:val="C99E67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C88500A"/>
    <w:multiLevelType w:val="hybridMultilevel"/>
    <w:tmpl w:val="AEAEB8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2"/>
  </w:num>
  <w:num w:numId="5">
    <w:abstractNumId w:val="15"/>
  </w:num>
  <w:num w:numId="6">
    <w:abstractNumId w:val="13"/>
  </w:num>
  <w:num w:numId="7">
    <w:abstractNumId w:val="10"/>
  </w:num>
  <w:num w:numId="8">
    <w:abstractNumId w:val="8"/>
  </w:num>
  <w:num w:numId="9">
    <w:abstractNumId w:val="1"/>
  </w:num>
  <w:num w:numId="10">
    <w:abstractNumId w:val="14"/>
  </w:num>
  <w:num w:numId="11">
    <w:abstractNumId w:val="17"/>
  </w:num>
  <w:num w:numId="12">
    <w:abstractNumId w:val="12"/>
  </w:num>
  <w:num w:numId="13">
    <w:abstractNumId w:val="4"/>
  </w:num>
  <w:num w:numId="14">
    <w:abstractNumId w:val="16"/>
  </w:num>
  <w:num w:numId="15">
    <w:abstractNumId w:val="5"/>
  </w:num>
  <w:num w:numId="16">
    <w:abstractNumId w:val="0"/>
  </w:num>
  <w:num w:numId="17">
    <w:abstractNumId w:val="11"/>
  </w:num>
  <w:num w:numId="18">
    <w:abstractNumId w:val="6"/>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 Ginny">
    <w15:presenceInfo w15:providerId="AD" w15:userId="S-1-5-21-2957929095-3120739573-999721741-108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9E"/>
    <w:rsid w:val="00014FCB"/>
    <w:rsid w:val="0008449E"/>
    <w:rsid w:val="00133590"/>
    <w:rsid w:val="00195F7D"/>
    <w:rsid w:val="001C3A82"/>
    <w:rsid w:val="0029721A"/>
    <w:rsid w:val="002A4991"/>
    <w:rsid w:val="002F0603"/>
    <w:rsid w:val="00304385"/>
    <w:rsid w:val="0031499B"/>
    <w:rsid w:val="003625F3"/>
    <w:rsid w:val="003A2833"/>
    <w:rsid w:val="003A602D"/>
    <w:rsid w:val="0040236A"/>
    <w:rsid w:val="0044330E"/>
    <w:rsid w:val="004B2495"/>
    <w:rsid w:val="004F6AA9"/>
    <w:rsid w:val="005627A8"/>
    <w:rsid w:val="0056761B"/>
    <w:rsid w:val="00586656"/>
    <w:rsid w:val="0059086E"/>
    <w:rsid w:val="005A0B44"/>
    <w:rsid w:val="00610A54"/>
    <w:rsid w:val="00625DD5"/>
    <w:rsid w:val="0066415F"/>
    <w:rsid w:val="0072090F"/>
    <w:rsid w:val="00730B67"/>
    <w:rsid w:val="00764B33"/>
    <w:rsid w:val="007D7F18"/>
    <w:rsid w:val="007E3A82"/>
    <w:rsid w:val="007E7C0A"/>
    <w:rsid w:val="00834A13"/>
    <w:rsid w:val="00845FC8"/>
    <w:rsid w:val="008A101F"/>
    <w:rsid w:val="008C16E6"/>
    <w:rsid w:val="008C23B2"/>
    <w:rsid w:val="009459DB"/>
    <w:rsid w:val="00995916"/>
    <w:rsid w:val="00A21D8B"/>
    <w:rsid w:val="00A97F06"/>
    <w:rsid w:val="00B2121D"/>
    <w:rsid w:val="00B65E7D"/>
    <w:rsid w:val="00B75F9E"/>
    <w:rsid w:val="00BD4218"/>
    <w:rsid w:val="00C35226"/>
    <w:rsid w:val="00C46050"/>
    <w:rsid w:val="00C52538"/>
    <w:rsid w:val="00C863F5"/>
    <w:rsid w:val="00D05633"/>
    <w:rsid w:val="00D115C5"/>
    <w:rsid w:val="00D23B89"/>
    <w:rsid w:val="00DF775B"/>
    <w:rsid w:val="00E50C50"/>
    <w:rsid w:val="00E86BFE"/>
    <w:rsid w:val="00E96E22"/>
    <w:rsid w:val="00EA6434"/>
    <w:rsid w:val="00EB2185"/>
    <w:rsid w:val="00ED412E"/>
    <w:rsid w:val="00ED78D2"/>
    <w:rsid w:val="00FE5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9E"/>
    <w:pPr>
      <w:spacing w:before="120" w:after="120" w:line="240" w:lineRule="auto"/>
    </w:pPr>
    <w:rPr>
      <w:rFonts w:eastAsia="Times New Roman" w:cs="Times New Roman"/>
      <w:szCs w:val="20"/>
      <w:lang w:eastAsia="en-AU"/>
    </w:rPr>
  </w:style>
  <w:style w:type="paragraph" w:styleId="Heading1">
    <w:name w:val="heading 1"/>
    <w:basedOn w:val="Normal"/>
    <w:next w:val="Normal"/>
    <w:link w:val="Heading1Char"/>
    <w:qFormat/>
    <w:rsid w:val="00B75F9E"/>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B75F9E"/>
    <w:pPr>
      <w:spacing w:before="240"/>
      <w:outlineLvl w:val="1"/>
    </w:pPr>
    <w:rPr>
      <w:rFonts w:ascii="Calibri" w:hAnsi="Calibr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F9E"/>
    <w:rPr>
      <w:rFonts w:ascii="Calibri" w:eastAsia="Times New Roman" w:hAnsi="Calibri" w:cs="Arial"/>
      <w:b/>
      <w:bCs/>
      <w:color w:val="005677"/>
      <w:kern w:val="32"/>
      <w:sz w:val="40"/>
      <w:szCs w:val="44"/>
    </w:rPr>
  </w:style>
  <w:style w:type="character" w:customStyle="1" w:styleId="Heading2Char">
    <w:name w:val="Heading 2 Char"/>
    <w:basedOn w:val="DefaultParagraphFont"/>
    <w:link w:val="Heading2"/>
    <w:rsid w:val="00B75F9E"/>
    <w:rPr>
      <w:rFonts w:ascii="Calibri" w:eastAsia="Times New Roman" w:hAnsi="Calibri" w:cs="Times New Roman"/>
      <w:b/>
      <w:szCs w:val="20"/>
      <w:u w:val="single"/>
      <w:lang w:eastAsia="en-AU"/>
    </w:rPr>
  </w:style>
  <w:style w:type="character" w:styleId="Strong">
    <w:name w:val="Strong"/>
    <w:qFormat/>
    <w:rsid w:val="00B75F9E"/>
    <w:rPr>
      <w:rFonts w:asciiTheme="minorHAnsi" w:hAnsiTheme="minorHAnsi"/>
      <w:b/>
      <w:sz w:val="22"/>
      <w:szCs w:val="20"/>
    </w:rPr>
  </w:style>
  <w:style w:type="paragraph" w:styleId="ListParagraph">
    <w:name w:val="List Paragraph"/>
    <w:basedOn w:val="Normal"/>
    <w:link w:val="ListParagraphChar"/>
    <w:uiPriority w:val="34"/>
    <w:qFormat/>
    <w:rsid w:val="00B75F9E"/>
    <w:pPr>
      <w:numPr>
        <w:numId w:val="1"/>
      </w:numPr>
      <w:contextualSpacing/>
    </w:pPr>
  </w:style>
  <w:style w:type="table" w:styleId="TableGrid">
    <w:name w:val="Table Grid"/>
    <w:basedOn w:val="TableNormal"/>
    <w:uiPriority w:val="59"/>
    <w:rsid w:val="00B75F9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5F9E"/>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B75F9E"/>
    <w:rPr>
      <w:rFonts w:eastAsia="Times New Roman" w:cs="Times New Roman"/>
      <w:sz w:val="16"/>
      <w:szCs w:val="20"/>
      <w:lang w:eastAsia="en-AU"/>
    </w:rPr>
  </w:style>
  <w:style w:type="paragraph" w:customStyle="1" w:styleId="Footnote">
    <w:name w:val="Footnote"/>
    <w:basedOn w:val="Footer"/>
    <w:link w:val="FootnoteChar"/>
    <w:qFormat/>
    <w:rsid w:val="00B75F9E"/>
  </w:style>
  <w:style w:type="character" w:customStyle="1" w:styleId="FootnoteChar">
    <w:name w:val="Footnote Char"/>
    <w:basedOn w:val="FooterChar"/>
    <w:link w:val="Footnote"/>
    <w:rsid w:val="00B75F9E"/>
    <w:rPr>
      <w:rFonts w:eastAsia="Times New Roman" w:cs="Times New Roman"/>
      <w:sz w:val="16"/>
      <w:szCs w:val="20"/>
      <w:lang w:eastAsia="en-AU"/>
    </w:rPr>
  </w:style>
  <w:style w:type="paragraph" w:customStyle="1" w:styleId="Disclaimer">
    <w:name w:val="Disclaimer"/>
    <w:basedOn w:val="Normal"/>
    <w:link w:val="DisclaimerChar"/>
    <w:qFormat/>
    <w:rsid w:val="00B75F9E"/>
    <w:pPr>
      <w:spacing w:before="0"/>
    </w:pPr>
    <w:rPr>
      <w:sz w:val="16"/>
      <w:szCs w:val="16"/>
    </w:rPr>
  </w:style>
  <w:style w:type="character" w:customStyle="1" w:styleId="DisclaimerChar">
    <w:name w:val="Disclaimer Char"/>
    <w:basedOn w:val="DefaultParagraphFont"/>
    <w:link w:val="Disclaimer"/>
    <w:rsid w:val="00B75F9E"/>
    <w:rPr>
      <w:rFonts w:eastAsia="Times New Roman" w:cs="Times New Roman"/>
      <w:sz w:val="16"/>
      <w:szCs w:val="16"/>
      <w:lang w:eastAsia="en-AU"/>
    </w:rPr>
  </w:style>
  <w:style w:type="character" w:customStyle="1" w:styleId="ListParagraphChar">
    <w:name w:val="List Paragraph Char"/>
    <w:basedOn w:val="DefaultParagraphFont"/>
    <w:link w:val="ListParagraph"/>
    <w:uiPriority w:val="34"/>
    <w:rsid w:val="00B75F9E"/>
    <w:rPr>
      <w:rFonts w:eastAsia="Times New Roman" w:cs="Times New Roman"/>
      <w:szCs w:val="20"/>
      <w:lang w:eastAsia="en-AU"/>
    </w:rPr>
  </w:style>
  <w:style w:type="paragraph" w:styleId="BalloonText">
    <w:name w:val="Balloon Text"/>
    <w:basedOn w:val="Normal"/>
    <w:link w:val="BalloonTextChar"/>
    <w:uiPriority w:val="99"/>
    <w:semiHidden/>
    <w:unhideWhenUsed/>
    <w:rsid w:val="00B75F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9E"/>
    <w:rPr>
      <w:rFonts w:ascii="Tahoma" w:eastAsia="Times New Roman" w:hAnsi="Tahoma" w:cs="Tahoma"/>
      <w:sz w:val="16"/>
      <w:szCs w:val="16"/>
      <w:lang w:eastAsia="en-AU"/>
    </w:rPr>
  </w:style>
  <w:style w:type="character" w:styleId="Hyperlink">
    <w:name w:val="Hyperlink"/>
    <w:basedOn w:val="DefaultParagraphFont"/>
    <w:uiPriority w:val="99"/>
    <w:semiHidden/>
    <w:unhideWhenUsed/>
    <w:rsid w:val="004F6AA9"/>
    <w:rPr>
      <w:color w:val="0000FF"/>
      <w:u w:val="single"/>
    </w:rPr>
  </w:style>
  <w:style w:type="table" w:customStyle="1" w:styleId="DIISRTETableThree">
    <w:name w:val="DIISRTE Table Three"/>
    <w:basedOn w:val="TableNormal"/>
    <w:locked/>
    <w:rsid w:val="00ED412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character" w:styleId="CommentReference">
    <w:name w:val="annotation reference"/>
    <w:basedOn w:val="DefaultParagraphFont"/>
    <w:uiPriority w:val="99"/>
    <w:semiHidden/>
    <w:unhideWhenUsed/>
    <w:rsid w:val="0040236A"/>
    <w:rPr>
      <w:sz w:val="16"/>
      <w:szCs w:val="16"/>
    </w:rPr>
  </w:style>
  <w:style w:type="paragraph" w:styleId="CommentText">
    <w:name w:val="annotation text"/>
    <w:basedOn w:val="Normal"/>
    <w:link w:val="CommentTextChar"/>
    <w:uiPriority w:val="99"/>
    <w:unhideWhenUsed/>
    <w:rsid w:val="0040236A"/>
    <w:rPr>
      <w:sz w:val="20"/>
    </w:rPr>
  </w:style>
  <w:style w:type="character" w:customStyle="1" w:styleId="CommentTextChar">
    <w:name w:val="Comment Text Char"/>
    <w:basedOn w:val="DefaultParagraphFont"/>
    <w:link w:val="CommentText"/>
    <w:uiPriority w:val="99"/>
    <w:rsid w:val="0040236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0236A"/>
    <w:rPr>
      <w:b/>
      <w:bCs/>
    </w:rPr>
  </w:style>
  <w:style w:type="character" w:customStyle="1" w:styleId="CommentSubjectChar">
    <w:name w:val="Comment Subject Char"/>
    <w:basedOn w:val="CommentTextChar"/>
    <w:link w:val="CommentSubject"/>
    <w:uiPriority w:val="99"/>
    <w:semiHidden/>
    <w:rsid w:val="0040236A"/>
    <w:rPr>
      <w:rFonts w:eastAsia="Times New Roman" w:cs="Times New Roman"/>
      <w:b/>
      <w:bCs/>
      <w:sz w:val="20"/>
      <w:szCs w:val="20"/>
      <w:lang w:eastAsia="en-AU"/>
    </w:rPr>
  </w:style>
  <w:style w:type="character" w:styleId="PlaceholderText">
    <w:name w:val="Placeholder Text"/>
    <w:basedOn w:val="DefaultParagraphFont"/>
    <w:uiPriority w:val="99"/>
    <w:rsid w:val="001C3A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9E"/>
    <w:pPr>
      <w:spacing w:before="120" w:after="120" w:line="240" w:lineRule="auto"/>
    </w:pPr>
    <w:rPr>
      <w:rFonts w:eastAsia="Times New Roman" w:cs="Times New Roman"/>
      <w:szCs w:val="20"/>
      <w:lang w:eastAsia="en-AU"/>
    </w:rPr>
  </w:style>
  <w:style w:type="paragraph" w:styleId="Heading1">
    <w:name w:val="heading 1"/>
    <w:basedOn w:val="Normal"/>
    <w:next w:val="Normal"/>
    <w:link w:val="Heading1Char"/>
    <w:qFormat/>
    <w:rsid w:val="00B75F9E"/>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B75F9E"/>
    <w:pPr>
      <w:spacing w:before="240"/>
      <w:outlineLvl w:val="1"/>
    </w:pPr>
    <w:rPr>
      <w:rFonts w:ascii="Calibri" w:hAnsi="Calibr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F9E"/>
    <w:rPr>
      <w:rFonts w:ascii="Calibri" w:eastAsia="Times New Roman" w:hAnsi="Calibri" w:cs="Arial"/>
      <w:b/>
      <w:bCs/>
      <w:color w:val="005677"/>
      <w:kern w:val="32"/>
      <w:sz w:val="40"/>
      <w:szCs w:val="44"/>
    </w:rPr>
  </w:style>
  <w:style w:type="character" w:customStyle="1" w:styleId="Heading2Char">
    <w:name w:val="Heading 2 Char"/>
    <w:basedOn w:val="DefaultParagraphFont"/>
    <w:link w:val="Heading2"/>
    <w:rsid w:val="00B75F9E"/>
    <w:rPr>
      <w:rFonts w:ascii="Calibri" w:eastAsia="Times New Roman" w:hAnsi="Calibri" w:cs="Times New Roman"/>
      <w:b/>
      <w:szCs w:val="20"/>
      <w:u w:val="single"/>
      <w:lang w:eastAsia="en-AU"/>
    </w:rPr>
  </w:style>
  <w:style w:type="character" w:styleId="Strong">
    <w:name w:val="Strong"/>
    <w:qFormat/>
    <w:rsid w:val="00B75F9E"/>
    <w:rPr>
      <w:rFonts w:asciiTheme="minorHAnsi" w:hAnsiTheme="minorHAnsi"/>
      <w:b/>
      <w:sz w:val="22"/>
      <w:szCs w:val="20"/>
    </w:rPr>
  </w:style>
  <w:style w:type="paragraph" w:styleId="ListParagraph">
    <w:name w:val="List Paragraph"/>
    <w:basedOn w:val="Normal"/>
    <w:link w:val="ListParagraphChar"/>
    <w:uiPriority w:val="34"/>
    <w:qFormat/>
    <w:rsid w:val="00B75F9E"/>
    <w:pPr>
      <w:numPr>
        <w:numId w:val="1"/>
      </w:numPr>
      <w:contextualSpacing/>
    </w:pPr>
  </w:style>
  <w:style w:type="table" w:styleId="TableGrid">
    <w:name w:val="Table Grid"/>
    <w:basedOn w:val="TableNormal"/>
    <w:uiPriority w:val="59"/>
    <w:rsid w:val="00B75F9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5F9E"/>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B75F9E"/>
    <w:rPr>
      <w:rFonts w:eastAsia="Times New Roman" w:cs="Times New Roman"/>
      <w:sz w:val="16"/>
      <w:szCs w:val="20"/>
      <w:lang w:eastAsia="en-AU"/>
    </w:rPr>
  </w:style>
  <w:style w:type="paragraph" w:customStyle="1" w:styleId="Footnote">
    <w:name w:val="Footnote"/>
    <w:basedOn w:val="Footer"/>
    <w:link w:val="FootnoteChar"/>
    <w:qFormat/>
    <w:rsid w:val="00B75F9E"/>
  </w:style>
  <w:style w:type="character" w:customStyle="1" w:styleId="FootnoteChar">
    <w:name w:val="Footnote Char"/>
    <w:basedOn w:val="FooterChar"/>
    <w:link w:val="Footnote"/>
    <w:rsid w:val="00B75F9E"/>
    <w:rPr>
      <w:rFonts w:eastAsia="Times New Roman" w:cs="Times New Roman"/>
      <w:sz w:val="16"/>
      <w:szCs w:val="20"/>
      <w:lang w:eastAsia="en-AU"/>
    </w:rPr>
  </w:style>
  <w:style w:type="paragraph" w:customStyle="1" w:styleId="Disclaimer">
    <w:name w:val="Disclaimer"/>
    <w:basedOn w:val="Normal"/>
    <w:link w:val="DisclaimerChar"/>
    <w:qFormat/>
    <w:rsid w:val="00B75F9E"/>
    <w:pPr>
      <w:spacing w:before="0"/>
    </w:pPr>
    <w:rPr>
      <w:sz w:val="16"/>
      <w:szCs w:val="16"/>
    </w:rPr>
  </w:style>
  <w:style w:type="character" w:customStyle="1" w:styleId="DisclaimerChar">
    <w:name w:val="Disclaimer Char"/>
    <w:basedOn w:val="DefaultParagraphFont"/>
    <w:link w:val="Disclaimer"/>
    <w:rsid w:val="00B75F9E"/>
    <w:rPr>
      <w:rFonts w:eastAsia="Times New Roman" w:cs="Times New Roman"/>
      <w:sz w:val="16"/>
      <w:szCs w:val="16"/>
      <w:lang w:eastAsia="en-AU"/>
    </w:rPr>
  </w:style>
  <w:style w:type="character" w:customStyle="1" w:styleId="ListParagraphChar">
    <w:name w:val="List Paragraph Char"/>
    <w:basedOn w:val="DefaultParagraphFont"/>
    <w:link w:val="ListParagraph"/>
    <w:uiPriority w:val="34"/>
    <w:rsid w:val="00B75F9E"/>
    <w:rPr>
      <w:rFonts w:eastAsia="Times New Roman" w:cs="Times New Roman"/>
      <w:szCs w:val="20"/>
      <w:lang w:eastAsia="en-AU"/>
    </w:rPr>
  </w:style>
  <w:style w:type="paragraph" w:styleId="BalloonText">
    <w:name w:val="Balloon Text"/>
    <w:basedOn w:val="Normal"/>
    <w:link w:val="BalloonTextChar"/>
    <w:uiPriority w:val="99"/>
    <w:semiHidden/>
    <w:unhideWhenUsed/>
    <w:rsid w:val="00B75F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9E"/>
    <w:rPr>
      <w:rFonts w:ascii="Tahoma" w:eastAsia="Times New Roman" w:hAnsi="Tahoma" w:cs="Tahoma"/>
      <w:sz w:val="16"/>
      <w:szCs w:val="16"/>
      <w:lang w:eastAsia="en-AU"/>
    </w:rPr>
  </w:style>
  <w:style w:type="character" w:styleId="Hyperlink">
    <w:name w:val="Hyperlink"/>
    <w:basedOn w:val="DefaultParagraphFont"/>
    <w:uiPriority w:val="99"/>
    <w:semiHidden/>
    <w:unhideWhenUsed/>
    <w:rsid w:val="004F6AA9"/>
    <w:rPr>
      <w:color w:val="0000FF"/>
      <w:u w:val="single"/>
    </w:rPr>
  </w:style>
  <w:style w:type="table" w:customStyle="1" w:styleId="DIISRTETableThree">
    <w:name w:val="DIISRTE Table Three"/>
    <w:basedOn w:val="TableNormal"/>
    <w:locked/>
    <w:rsid w:val="00ED412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character" w:styleId="CommentReference">
    <w:name w:val="annotation reference"/>
    <w:basedOn w:val="DefaultParagraphFont"/>
    <w:uiPriority w:val="99"/>
    <w:semiHidden/>
    <w:unhideWhenUsed/>
    <w:rsid w:val="0040236A"/>
    <w:rPr>
      <w:sz w:val="16"/>
      <w:szCs w:val="16"/>
    </w:rPr>
  </w:style>
  <w:style w:type="paragraph" w:styleId="CommentText">
    <w:name w:val="annotation text"/>
    <w:basedOn w:val="Normal"/>
    <w:link w:val="CommentTextChar"/>
    <w:uiPriority w:val="99"/>
    <w:unhideWhenUsed/>
    <w:rsid w:val="0040236A"/>
    <w:rPr>
      <w:sz w:val="20"/>
    </w:rPr>
  </w:style>
  <w:style w:type="character" w:customStyle="1" w:styleId="CommentTextChar">
    <w:name w:val="Comment Text Char"/>
    <w:basedOn w:val="DefaultParagraphFont"/>
    <w:link w:val="CommentText"/>
    <w:uiPriority w:val="99"/>
    <w:rsid w:val="0040236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0236A"/>
    <w:rPr>
      <w:b/>
      <w:bCs/>
    </w:rPr>
  </w:style>
  <w:style w:type="character" w:customStyle="1" w:styleId="CommentSubjectChar">
    <w:name w:val="Comment Subject Char"/>
    <w:basedOn w:val="CommentTextChar"/>
    <w:link w:val="CommentSubject"/>
    <w:uiPriority w:val="99"/>
    <w:semiHidden/>
    <w:rsid w:val="0040236A"/>
    <w:rPr>
      <w:rFonts w:eastAsia="Times New Roman" w:cs="Times New Roman"/>
      <w:b/>
      <w:bCs/>
      <w:sz w:val="20"/>
      <w:szCs w:val="20"/>
      <w:lang w:eastAsia="en-AU"/>
    </w:rPr>
  </w:style>
  <w:style w:type="character" w:styleId="PlaceholderText">
    <w:name w:val="Placeholder Text"/>
    <w:basedOn w:val="DefaultParagraphFont"/>
    <w:uiPriority w:val="99"/>
    <w:rsid w:val="001C3A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4718">
      <w:bodyDiv w:val="1"/>
      <w:marLeft w:val="0"/>
      <w:marRight w:val="0"/>
      <w:marTop w:val="0"/>
      <w:marBottom w:val="0"/>
      <w:divBdr>
        <w:top w:val="none" w:sz="0" w:space="0" w:color="auto"/>
        <w:left w:val="none" w:sz="0" w:space="0" w:color="auto"/>
        <w:bottom w:val="none" w:sz="0" w:space="0" w:color="auto"/>
        <w:right w:val="none" w:sz="0" w:space="0" w:color="auto"/>
      </w:divBdr>
      <w:divsChild>
        <w:div w:id="1294214130">
          <w:marLeft w:val="0"/>
          <w:marRight w:val="0"/>
          <w:marTop w:val="0"/>
          <w:marBottom w:val="0"/>
          <w:divBdr>
            <w:top w:val="none" w:sz="0" w:space="0" w:color="auto"/>
            <w:left w:val="none" w:sz="0" w:space="0" w:color="auto"/>
            <w:bottom w:val="none" w:sz="0" w:space="0" w:color="auto"/>
            <w:right w:val="none" w:sz="0" w:space="0" w:color="auto"/>
          </w:divBdr>
        </w:div>
        <w:div w:id="434446884">
          <w:marLeft w:val="0"/>
          <w:marRight w:val="0"/>
          <w:marTop w:val="0"/>
          <w:marBottom w:val="0"/>
          <w:divBdr>
            <w:top w:val="none" w:sz="0" w:space="0" w:color="auto"/>
            <w:left w:val="none" w:sz="0" w:space="0" w:color="auto"/>
            <w:bottom w:val="none" w:sz="0" w:space="0" w:color="auto"/>
            <w:right w:val="none" w:sz="0" w:space="0" w:color="auto"/>
          </w:divBdr>
        </w:div>
        <w:div w:id="1130128366">
          <w:marLeft w:val="0"/>
          <w:marRight w:val="0"/>
          <w:marTop w:val="0"/>
          <w:marBottom w:val="0"/>
          <w:divBdr>
            <w:top w:val="none" w:sz="0" w:space="0" w:color="auto"/>
            <w:left w:val="none" w:sz="0" w:space="0" w:color="auto"/>
            <w:bottom w:val="none" w:sz="0" w:space="0" w:color="auto"/>
            <w:right w:val="none" w:sz="0" w:space="0" w:color="auto"/>
          </w:divBdr>
        </w:div>
        <w:div w:id="1011567166">
          <w:marLeft w:val="0"/>
          <w:marRight w:val="0"/>
          <w:marTop w:val="0"/>
          <w:marBottom w:val="0"/>
          <w:divBdr>
            <w:top w:val="none" w:sz="0" w:space="0" w:color="auto"/>
            <w:left w:val="none" w:sz="0" w:space="0" w:color="auto"/>
            <w:bottom w:val="none" w:sz="0" w:space="0" w:color="auto"/>
            <w:right w:val="none" w:sz="0" w:space="0" w:color="auto"/>
          </w:divBdr>
        </w:div>
        <w:div w:id="998967345">
          <w:marLeft w:val="0"/>
          <w:marRight w:val="0"/>
          <w:marTop w:val="0"/>
          <w:marBottom w:val="0"/>
          <w:divBdr>
            <w:top w:val="none" w:sz="0" w:space="0" w:color="auto"/>
            <w:left w:val="none" w:sz="0" w:space="0" w:color="auto"/>
            <w:bottom w:val="none" w:sz="0" w:space="0" w:color="auto"/>
            <w:right w:val="none" w:sz="0" w:space="0" w:color="auto"/>
          </w:divBdr>
        </w:div>
        <w:div w:id="1318149817">
          <w:marLeft w:val="0"/>
          <w:marRight w:val="0"/>
          <w:marTop w:val="0"/>
          <w:marBottom w:val="0"/>
          <w:divBdr>
            <w:top w:val="none" w:sz="0" w:space="0" w:color="auto"/>
            <w:left w:val="none" w:sz="0" w:space="0" w:color="auto"/>
            <w:bottom w:val="none" w:sz="0" w:space="0" w:color="auto"/>
            <w:right w:val="none" w:sz="0" w:space="0" w:color="auto"/>
          </w:divBdr>
        </w:div>
        <w:div w:id="31611889">
          <w:marLeft w:val="0"/>
          <w:marRight w:val="0"/>
          <w:marTop w:val="0"/>
          <w:marBottom w:val="0"/>
          <w:divBdr>
            <w:top w:val="none" w:sz="0" w:space="0" w:color="auto"/>
            <w:left w:val="none" w:sz="0" w:space="0" w:color="auto"/>
            <w:bottom w:val="none" w:sz="0" w:space="0" w:color="auto"/>
            <w:right w:val="none" w:sz="0" w:space="0" w:color="auto"/>
          </w:divBdr>
        </w:div>
        <w:div w:id="1577397785">
          <w:marLeft w:val="0"/>
          <w:marRight w:val="0"/>
          <w:marTop w:val="0"/>
          <w:marBottom w:val="0"/>
          <w:divBdr>
            <w:top w:val="none" w:sz="0" w:space="0" w:color="auto"/>
            <w:left w:val="none" w:sz="0" w:space="0" w:color="auto"/>
            <w:bottom w:val="none" w:sz="0" w:space="0" w:color="auto"/>
            <w:right w:val="none" w:sz="0" w:space="0" w:color="auto"/>
          </w:divBdr>
        </w:div>
        <w:div w:id="467358964">
          <w:marLeft w:val="0"/>
          <w:marRight w:val="0"/>
          <w:marTop w:val="0"/>
          <w:marBottom w:val="0"/>
          <w:divBdr>
            <w:top w:val="none" w:sz="0" w:space="0" w:color="auto"/>
            <w:left w:val="none" w:sz="0" w:space="0" w:color="auto"/>
            <w:bottom w:val="none" w:sz="0" w:space="0" w:color="auto"/>
            <w:right w:val="none" w:sz="0" w:space="0" w:color="auto"/>
          </w:divBdr>
        </w:div>
        <w:div w:id="646126010">
          <w:marLeft w:val="0"/>
          <w:marRight w:val="0"/>
          <w:marTop w:val="0"/>
          <w:marBottom w:val="0"/>
          <w:divBdr>
            <w:top w:val="none" w:sz="0" w:space="0" w:color="auto"/>
            <w:left w:val="none" w:sz="0" w:space="0" w:color="auto"/>
            <w:bottom w:val="none" w:sz="0" w:space="0" w:color="auto"/>
            <w:right w:val="none" w:sz="0" w:space="0" w:color="auto"/>
          </w:divBdr>
        </w:div>
        <w:div w:id="116070114">
          <w:marLeft w:val="0"/>
          <w:marRight w:val="0"/>
          <w:marTop w:val="0"/>
          <w:marBottom w:val="0"/>
          <w:divBdr>
            <w:top w:val="none" w:sz="0" w:space="0" w:color="auto"/>
            <w:left w:val="none" w:sz="0" w:space="0" w:color="auto"/>
            <w:bottom w:val="none" w:sz="0" w:space="0" w:color="auto"/>
            <w:right w:val="none" w:sz="0" w:space="0" w:color="auto"/>
          </w:divBdr>
        </w:div>
        <w:div w:id="1754425193">
          <w:marLeft w:val="0"/>
          <w:marRight w:val="0"/>
          <w:marTop w:val="0"/>
          <w:marBottom w:val="0"/>
          <w:divBdr>
            <w:top w:val="none" w:sz="0" w:space="0" w:color="auto"/>
            <w:left w:val="none" w:sz="0" w:space="0" w:color="auto"/>
            <w:bottom w:val="none" w:sz="0" w:space="0" w:color="auto"/>
            <w:right w:val="none" w:sz="0" w:space="0" w:color="auto"/>
          </w:divBdr>
        </w:div>
        <w:div w:id="1377123698">
          <w:marLeft w:val="0"/>
          <w:marRight w:val="0"/>
          <w:marTop w:val="0"/>
          <w:marBottom w:val="0"/>
          <w:divBdr>
            <w:top w:val="none" w:sz="0" w:space="0" w:color="auto"/>
            <w:left w:val="none" w:sz="0" w:space="0" w:color="auto"/>
            <w:bottom w:val="none" w:sz="0" w:space="0" w:color="auto"/>
            <w:right w:val="none" w:sz="0" w:space="0" w:color="auto"/>
          </w:divBdr>
        </w:div>
        <w:div w:id="1311709023">
          <w:marLeft w:val="0"/>
          <w:marRight w:val="0"/>
          <w:marTop w:val="0"/>
          <w:marBottom w:val="0"/>
          <w:divBdr>
            <w:top w:val="none" w:sz="0" w:space="0" w:color="auto"/>
            <w:left w:val="none" w:sz="0" w:space="0" w:color="auto"/>
            <w:bottom w:val="none" w:sz="0" w:space="0" w:color="auto"/>
            <w:right w:val="none" w:sz="0" w:space="0" w:color="auto"/>
          </w:divBdr>
        </w:div>
        <w:div w:id="726993395">
          <w:marLeft w:val="0"/>
          <w:marRight w:val="0"/>
          <w:marTop w:val="0"/>
          <w:marBottom w:val="0"/>
          <w:divBdr>
            <w:top w:val="none" w:sz="0" w:space="0" w:color="auto"/>
            <w:left w:val="none" w:sz="0" w:space="0" w:color="auto"/>
            <w:bottom w:val="none" w:sz="0" w:space="0" w:color="auto"/>
            <w:right w:val="none" w:sz="0" w:space="0" w:color="auto"/>
          </w:divBdr>
        </w:div>
        <w:div w:id="1294941041">
          <w:marLeft w:val="0"/>
          <w:marRight w:val="0"/>
          <w:marTop w:val="0"/>
          <w:marBottom w:val="0"/>
          <w:divBdr>
            <w:top w:val="none" w:sz="0" w:space="0" w:color="auto"/>
            <w:left w:val="none" w:sz="0" w:space="0" w:color="auto"/>
            <w:bottom w:val="none" w:sz="0" w:space="0" w:color="auto"/>
            <w:right w:val="none" w:sz="0" w:space="0" w:color="auto"/>
          </w:divBdr>
        </w:div>
        <w:div w:id="1958557165">
          <w:marLeft w:val="0"/>
          <w:marRight w:val="0"/>
          <w:marTop w:val="0"/>
          <w:marBottom w:val="0"/>
          <w:divBdr>
            <w:top w:val="none" w:sz="0" w:space="0" w:color="auto"/>
            <w:left w:val="none" w:sz="0" w:space="0" w:color="auto"/>
            <w:bottom w:val="none" w:sz="0" w:space="0" w:color="auto"/>
            <w:right w:val="none" w:sz="0" w:space="0" w:color="auto"/>
          </w:divBdr>
        </w:div>
        <w:div w:id="1561751613">
          <w:marLeft w:val="0"/>
          <w:marRight w:val="0"/>
          <w:marTop w:val="0"/>
          <w:marBottom w:val="0"/>
          <w:divBdr>
            <w:top w:val="none" w:sz="0" w:space="0" w:color="auto"/>
            <w:left w:val="none" w:sz="0" w:space="0" w:color="auto"/>
            <w:bottom w:val="none" w:sz="0" w:space="0" w:color="auto"/>
            <w:right w:val="none" w:sz="0" w:space="0" w:color="auto"/>
          </w:divBdr>
        </w:div>
        <w:div w:id="2126381482">
          <w:marLeft w:val="0"/>
          <w:marRight w:val="0"/>
          <w:marTop w:val="0"/>
          <w:marBottom w:val="0"/>
          <w:divBdr>
            <w:top w:val="none" w:sz="0" w:space="0" w:color="auto"/>
            <w:left w:val="none" w:sz="0" w:space="0" w:color="auto"/>
            <w:bottom w:val="none" w:sz="0" w:space="0" w:color="auto"/>
            <w:right w:val="none" w:sz="0" w:space="0" w:color="auto"/>
          </w:divBdr>
        </w:div>
        <w:div w:id="1603415535">
          <w:marLeft w:val="0"/>
          <w:marRight w:val="0"/>
          <w:marTop w:val="0"/>
          <w:marBottom w:val="0"/>
          <w:divBdr>
            <w:top w:val="none" w:sz="0" w:space="0" w:color="auto"/>
            <w:left w:val="none" w:sz="0" w:space="0" w:color="auto"/>
            <w:bottom w:val="none" w:sz="0" w:space="0" w:color="auto"/>
            <w:right w:val="none" w:sz="0" w:space="0" w:color="auto"/>
          </w:divBdr>
        </w:div>
        <w:div w:id="787116242">
          <w:marLeft w:val="0"/>
          <w:marRight w:val="0"/>
          <w:marTop w:val="0"/>
          <w:marBottom w:val="0"/>
          <w:divBdr>
            <w:top w:val="none" w:sz="0" w:space="0" w:color="auto"/>
            <w:left w:val="none" w:sz="0" w:space="0" w:color="auto"/>
            <w:bottom w:val="none" w:sz="0" w:space="0" w:color="auto"/>
            <w:right w:val="none" w:sz="0" w:space="0" w:color="auto"/>
          </w:divBdr>
        </w:div>
        <w:div w:id="1367413792">
          <w:marLeft w:val="0"/>
          <w:marRight w:val="0"/>
          <w:marTop w:val="0"/>
          <w:marBottom w:val="0"/>
          <w:divBdr>
            <w:top w:val="none" w:sz="0" w:space="0" w:color="auto"/>
            <w:left w:val="none" w:sz="0" w:space="0" w:color="auto"/>
            <w:bottom w:val="none" w:sz="0" w:space="0" w:color="auto"/>
            <w:right w:val="none" w:sz="0" w:space="0" w:color="auto"/>
          </w:divBdr>
        </w:div>
        <w:div w:id="262543609">
          <w:marLeft w:val="0"/>
          <w:marRight w:val="0"/>
          <w:marTop w:val="0"/>
          <w:marBottom w:val="0"/>
          <w:divBdr>
            <w:top w:val="none" w:sz="0" w:space="0" w:color="auto"/>
            <w:left w:val="none" w:sz="0" w:space="0" w:color="auto"/>
            <w:bottom w:val="none" w:sz="0" w:space="0" w:color="auto"/>
            <w:right w:val="none" w:sz="0" w:space="0" w:color="auto"/>
          </w:divBdr>
        </w:div>
        <w:div w:id="584218692">
          <w:marLeft w:val="0"/>
          <w:marRight w:val="0"/>
          <w:marTop w:val="0"/>
          <w:marBottom w:val="0"/>
          <w:divBdr>
            <w:top w:val="none" w:sz="0" w:space="0" w:color="auto"/>
            <w:left w:val="none" w:sz="0" w:space="0" w:color="auto"/>
            <w:bottom w:val="none" w:sz="0" w:space="0" w:color="auto"/>
            <w:right w:val="none" w:sz="0" w:space="0" w:color="auto"/>
          </w:divBdr>
        </w:div>
        <w:div w:id="22561235">
          <w:marLeft w:val="0"/>
          <w:marRight w:val="0"/>
          <w:marTop w:val="0"/>
          <w:marBottom w:val="0"/>
          <w:divBdr>
            <w:top w:val="none" w:sz="0" w:space="0" w:color="auto"/>
            <w:left w:val="none" w:sz="0" w:space="0" w:color="auto"/>
            <w:bottom w:val="none" w:sz="0" w:space="0" w:color="auto"/>
            <w:right w:val="none" w:sz="0" w:space="0" w:color="auto"/>
          </w:divBdr>
        </w:div>
        <w:div w:id="1237739903">
          <w:marLeft w:val="0"/>
          <w:marRight w:val="0"/>
          <w:marTop w:val="0"/>
          <w:marBottom w:val="0"/>
          <w:divBdr>
            <w:top w:val="none" w:sz="0" w:space="0" w:color="auto"/>
            <w:left w:val="none" w:sz="0" w:space="0" w:color="auto"/>
            <w:bottom w:val="none" w:sz="0" w:space="0" w:color="auto"/>
            <w:right w:val="none" w:sz="0" w:space="0" w:color="auto"/>
          </w:divBdr>
        </w:div>
        <w:div w:id="1532303131">
          <w:marLeft w:val="0"/>
          <w:marRight w:val="0"/>
          <w:marTop w:val="0"/>
          <w:marBottom w:val="0"/>
          <w:divBdr>
            <w:top w:val="none" w:sz="0" w:space="0" w:color="auto"/>
            <w:left w:val="none" w:sz="0" w:space="0" w:color="auto"/>
            <w:bottom w:val="none" w:sz="0" w:space="0" w:color="auto"/>
            <w:right w:val="none" w:sz="0" w:space="0" w:color="auto"/>
          </w:divBdr>
        </w:div>
        <w:div w:id="1916281497">
          <w:marLeft w:val="0"/>
          <w:marRight w:val="0"/>
          <w:marTop w:val="0"/>
          <w:marBottom w:val="0"/>
          <w:divBdr>
            <w:top w:val="none" w:sz="0" w:space="0" w:color="auto"/>
            <w:left w:val="none" w:sz="0" w:space="0" w:color="auto"/>
            <w:bottom w:val="none" w:sz="0" w:space="0" w:color="auto"/>
            <w:right w:val="none" w:sz="0" w:space="0" w:color="auto"/>
          </w:divBdr>
        </w:div>
        <w:div w:id="1606184094">
          <w:marLeft w:val="0"/>
          <w:marRight w:val="0"/>
          <w:marTop w:val="0"/>
          <w:marBottom w:val="0"/>
          <w:divBdr>
            <w:top w:val="none" w:sz="0" w:space="0" w:color="auto"/>
            <w:left w:val="none" w:sz="0" w:space="0" w:color="auto"/>
            <w:bottom w:val="none" w:sz="0" w:space="0" w:color="auto"/>
            <w:right w:val="none" w:sz="0" w:space="0" w:color="auto"/>
          </w:divBdr>
        </w:div>
        <w:div w:id="241716207">
          <w:marLeft w:val="0"/>
          <w:marRight w:val="0"/>
          <w:marTop w:val="0"/>
          <w:marBottom w:val="0"/>
          <w:divBdr>
            <w:top w:val="none" w:sz="0" w:space="0" w:color="auto"/>
            <w:left w:val="none" w:sz="0" w:space="0" w:color="auto"/>
            <w:bottom w:val="none" w:sz="0" w:space="0" w:color="auto"/>
            <w:right w:val="none" w:sz="0" w:space="0" w:color="auto"/>
          </w:divBdr>
        </w:div>
        <w:div w:id="765348670">
          <w:marLeft w:val="0"/>
          <w:marRight w:val="0"/>
          <w:marTop w:val="0"/>
          <w:marBottom w:val="0"/>
          <w:divBdr>
            <w:top w:val="none" w:sz="0" w:space="0" w:color="auto"/>
            <w:left w:val="none" w:sz="0" w:space="0" w:color="auto"/>
            <w:bottom w:val="none" w:sz="0" w:space="0" w:color="auto"/>
            <w:right w:val="none" w:sz="0" w:space="0" w:color="auto"/>
          </w:divBdr>
        </w:div>
        <w:div w:id="908882803">
          <w:marLeft w:val="0"/>
          <w:marRight w:val="0"/>
          <w:marTop w:val="0"/>
          <w:marBottom w:val="0"/>
          <w:divBdr>
            <w:top w:val="none" w:sz="0" w:space="0" w:color="auto"/>
            <w:left w:val="none" w:sz="0" w:space="0" w:color="auto"/>
            <w:bottom w:val="none" w:sz="0" w:space="0" w:color="auto"/>
            <w:right w:val="none" w:sz="0" w:space="0" w:color="auto"/>
          </w:divBdr>
        </w:div>
        <w:div w:id="874077808">
          <w:marLeft w:val="0"/>
          <w:marRight w:val="0"/>
          <w:marTop w:val="0"/>
          <w:marBottom w:val="0"/>
          <w:divBdr>
            <w:top w:val="none" w:sz="0" w:space="0" w:color="auto"/>
            <w:left w:val="none" w:sz="0" w:space="0" w:color="auto"/>
            <w:bottom w:val="none" w:sz="0" w:space="0" w:color="auto"/>
            <w:right w:val="none" w:sz="0" w:space="0" w:color="auto"/>
          </w:divBdr>
        </w:div>
        <w:div w:id="250355217">
          <w:marLeft w:val="0"/>
          <w:marRight w:val="0"/>
          <w:marTop w:val="0"/>
          <w:marBottom w:val="0"/>
          <w:divBdr>
            <w:top w:val="none" w:sz="0" w:space="0" w:color="auto"/>
            <w:left w:val="none" w:sz="0" w:space="0" w:color="auto"/>
            <w:bottom w:val="none" w:sz="0" w:space="0" w:color="auto"/>
            <w:right w:val="none" w:sz="0" w:space="0" w:color="auto"/>
          </w:divBdr>
        </w:div>
        <w:div w:id="321323181">
          <w:marLeft w:val="0"/>
          <w:marRight w:val="0"/>
          <w:marTop w:val="0"/>
          <w:marBottom w:val="0"/>
          <w:divBdr>
            <w:top w:val="none" w:sz="0" w:space="0" w:color="auto"/>
            <w:left w:val="none" w:sz="0" w:space="0" w:color="auto"/>
            <w:bottom w:val="none" w:sz="0" w:space="0" w:color="auto"/>
            <w:right w:val="none" w:sz="0" w:space="0" w:color="auto"/>
          </w:divBdr>
        </w:div>
        <w:div w:id="82804587">
          <w:marLeft w:val="0"/>
          <w:marRight w:val="0"/>
          <w:marTop w:val="0"/>
          <w:marBottom w:val="0"/>
          <w:divBdr>
            <w:top w:val="none" w:sz="0" w:space="0" w:color="auto"/>
            <w:left w:val="none" w:sz="0" w:space="0" w:color="auto"/>
            <w:bottom w:val="none" w:sz="0" w:space="0" w:color="auto"/>
            <w:right w:val="none" w:sz="0" w:space="0" w:color="auto"/>
          </w:divBdr>
        </w:div>
        <w:div w:id="1414544991">
          <w:marLeft w:val="0"/>
          <w:marRight w:val="0"/>
          <w:marTop w:val="0"/>
          <w:marBottom w:val="0"/>
          <w:divBdr>
            <w:top w:val="none" w:sz="0" w:space="0" w:color="auto"/>
            <w:left w:val="none" w:sz="0" w:space="0" w:color="auto"/>
            <w:bottom w:val="none" w:sz="0" w:space="0" w:color="auto"/>
            <w:right w:val="none" w:sz="0" w:space="0" w:color="auto"/>
          </w:divBdr>
        </w:div>
        <w:div w:id="1806194438">
          <w:marLeft w:val="0"/>
          <w:marRight w:val="0"/>
          <w:marTop w:val="0"/>
          <w:marBottom w:val="0"/>
          <w:divBdr>
            <w:top w:val="none" w:sz="0" w:space="0" w:color="auto"/>
            <w:left w:val="none" w:sz="0" w:space="0" w:color="auto"/>
            <w:bottom w:val="none" w:sz="0" w:space="0" w:color="auto"/>
            <w:right w:val="none" w:sz="0" w:space="0" w:color="auto"/>
          </w:divBdr>
        </w:div>
        <w:div w:id="434906086">
          <w:marLeft w:val="0"/>
          <w:marRight w:val="0"/>
          <w:marTop w:val="0"/>
          <w:marBottom w:val="0"/>
          <w:divBdr>
            <w:top w:val="none" w:sz="0" w:space="0" w:color="auto"/>
            <w:left w:val="none" w:sz="0" w:space="0" w:color="auto"/>
            <w:bottom w:val="none" w:sz="0" w:space="0" w:color="auto"/>
            <w:right w:val="none" w:sz="0" w:space="0" w:color="auto"/>
          </w:divBdr>
        </w:div>
        <w:div w:id="1351419991">
          <w:marLeft w:val="0"/>
          <w:marRight w:val="0"/>
          <w:marTop w:val="0"/>
          <w:marBottom w:val="0"/>
          <w:divBdr>
            <w:top w:val="none" w:sz="0" w:space="0" w:color="auto"/>
            <w:left w:val="none" w:sz="0" w:space="0" w:color="auto"/>
            <w:bottom w:val="none" w:sz="0" w:space="0" w:color="auto"/>
            <w:right w:val="none" w:sz="0" w:space="0" w:color="auto"/>
          </w:divBdr>
        </w:div>
        <w:div w:id="1935548004">
          <w:marLeft w:val="0"/>
          <w:marRight w:val="0"/>
          <w:marTop w:val="0"/>
          <w:marBottom w:val="0"/>
          <w:divBdr>
            <w:top w:val="none" w:sz="0" w:space="0" w:color="auto"/>
            <w:left w:val="none" w:sz="0" w:space="0" w:color="auto"/>
            <w:bottom w:val="none" w:sz="0" w:space="0" w:color="auto"/>
            <w:right w:val="none" w:sz="0" w:space="0" w:color="auto"/>
          </w:divBdr>
        </w:div>
        <w:div w:id="2095929671">
          <w:marLeft w:val="0"/>
          <w:marRight w:val="0"/>
          <w:marTop w:val="0"/>
          <w:marBottom w:val="0"/>
          <w:divBdr>
            <w:top w:val="none" w:sz="0" w:space="0" w:color="auto"/>
            <w:left w:val="none" w:sz="0" w:space="0" w:color="auto"/>
            <w:bottom w:val="none" w:sz="0" w:space="0" w:color="auto"/>
            <w:right w:val="none" w:sz="0" w:space="0" w:color="auto"/>
          </w:divBdr>
        </w:div>
        <w:div w:id="495656909">
          <w:marLeft w:val="0"/>
          <w:marRight w:val="0"/>
          <w:marTop w:val="0"/>
          <w:marBottom w:val="0"/>
          <w:divBdr>
            <w:top w:val="none" w:sz="0" w:space="0" w:color="auto"/>
            <w:left w:val="none" w:sz="0" w:space="0" w:color="auto"/>
            <w:bottom w:val="none" w:sz="0" w:space="0" w:color="auto"/>
            <w:right w:val="none" w:sz="0" w:space="0" w:color="auto"/>
          </w:divBdr>
        </w:div>
        <w:div w:id="506865324">
          <w:marLeft w:val="0"/>
          <w:marRight w:val="0"/>
          <w:marTop w:val="0"/>
          <w:marBottom w:val="0"/>
          <w:divBdr>
            <w:top w:val="none" w:sz="0" w:space="0" w:color="auto"/>
            <w:left w:val="none" w:sz="0" w:space="0" w:color="auto"/>
            <w:bottom w:val="none" w:sz="0" w:space="0" w:color="auto"/>
            <w:right w:val="none" w:sz="0" w:space="0" w:color="auto"/>
          </w:divBdr>
        </w:div>
        <w:div w:id="780733493">
          <w:marLeft w:val="0"/>
          <w:marRight w:val="0"/>
          <w:marTop w:val="0"/>
          <w:marBottom w:val="0"/>
          <w:divBdr>
            <w:top w:val="none" w:sz="0" w:space="0" w:color="auto"/>
            <w:left w:val="none" w:sz="0" w:space="0" w:color="auto"/>
            <w:bottom w:val="none" w:sz="0" w:space="0" w:color="auto"/>
            <w:right w:val="none" w:sz="0" w:space="0" w:color="auto"/>
          </w:divBdr>
        </w:div>
        <w:div w:id="1528367683">
          <w:marLeft w:val="0"/>
          <w:marRight w:val="0"/>
          <w:marTop w:val="0"/>
          <w:marBottom w:val="0"/>
          <w:divBdr>
            <w:top w:val="none" w:sz="0" w:space="0" w:color="auto"/>
            <w:left w:val="none" w:sz="0" w:space="0" w:color="auto"/>
            <w:bottom w:val="none" w:sz="0" w:space="0" w:color="auto"/>
            <w:right w:val="none" w:sz="0" w:space="0" w:color="auto"/>
          </w:divBdr>
        </w:div>
        <w:div w:id="1173572482">
          <w:marLeft w:val="0"/>
          <w:marRight w:val="0"/>
          <w:marTop w:val="0"/>
          <w:marBottom w:val="0"/>
          <w:divBdr>
            <w:top w:val="none" w:sz="0" w:space="0" w:color="auto"/>
            <w:left w:val="none" w:sz="0" w:space="0" w:color="auto"/>
            <w:bottom w:val="none" w:sz="0" w:space="0" w:color="auto"/>
            <w:right w:val="none" w:sz="0" w:space="0" w:color="auto"/>
          </w:divBdr>
        </w:div>
        <w:div w:id="1503085682">
          <w:marLeft w:val="0"/>
          <w:marRight w:val="0"/>
          <w:marTop w:val="0"/>
          <w:marBottom w:val="0"/>
          <w:divBdr>
            <w:top w:val="none" w:sz="0" w:space="0" w:color="auto"/>
            <w:left w:val="none" w:sz="0" w:space="0" w:color="auto"/>
            <w:bottom w:val="none" w:sz="0" w:space="0" w:color="auto"/>
            <w:right w:val="none" w:sz="0" w:space="0" w:color="auto"/>
          </w:divBdr>
        </w:div>
        <w:div w:id="1392846813">
          <w:marLeft w:val="0"/>
          <w:marRight w:val="0"/>
          <w:marTop w:val="0"/>
          <w:marBottom w:val="0"/>
          <w:divBdr>
            <w:top w:val="none" w:sz="0" w:space="0" w:color="auto"/>
            <w:left w:val="none" w:sz="0" w:space="0" w:color="auto"/>
            <w:bottom w:val="none" w:sz="0" w:space="0" w:color="auto"/>
            <w:right w:val="none" w:sz="0" w:space="0" w:color="auto"/>
          </w:divBdr>
        </w:div>
        <w:div w:id="1489251294">
          <w:marLeft w:val="0"/>
          <w:marRight w:val="0"/>
          <w:marTop w:val="0"/>
          <w:marBottom w:val="0"/>
          <w:divBdr>
            <w:top w:val="none" w:sz="0" w:space="0" w:color="auto"/>
            <w:left w:val="none" w:sz="0" w:space="0" w:color="auto"/>
            <w:bottom w:val="none" w:sz="0" w:space="0" w:color="auto"/>
            <w:right w:val="none" w:sz="0" w:space="0" w:color="auto"/>
          </w:divBdr>
        </w:div>
        <w:div w:id="1912541861">
          <w:marLeft w:val="0"/>
          <w:marRight w:val="0"/>
          <w:marTop w:val="0"/>
          <w:marBottom w:val="0"/>
          <w:divBdr>
            <w:top w:val="none" w:sz="0" w:space="0" w:color="auto"/>
            <w:left w:val="none" w:sz="0" w:space="0" w:color="auto"/>
            <w:bottom w:val="none" w:sz="0" w:space="0" w:color="auto"/>
            <w:right w:val="none" w:sz="0" w:space="0" w:color="auto"/>
          </w:divBdr>
        </w:div>
        <w:div w:id="1086612935">
          <w:marLeft w:val="0"/>
          <w:marRight w:val="0"/>
          <w:marTop w:val="0"/>
          <w:marBottom w:val="0"/>
          <w:divBdr>
            <w:top w:val="none" w:sz="0" w:space="0" w:color="auto"/>
            <w:left w:val="none" w:sz="0" w:space="0" w:color="auto"/>
            <w:bottom w:val="none" w:sz="0" w:space="0" w:color="auto"/>
            <w:right w:val="none" w:sz="0" w:space="0" w:color="auto"/>
          </w:divBdr>
        </w:div>
        <w:div w:id="448862755">
          <w:marLeft w:val="0"/>
          <w:marRight w:val="0"/>
          <w:marTop w:val="0"/>
          <w:marBottom w:val="0"/>
          <w:divBdr>
            <w:top w:val="none" w:sz="0" w:space="0" w:color="auto"/>
            <w:left w:val="none" w:sz="0" w:space="0" w:color="auto"/>
            <w:bottom w:val="none" w:sz="0" w:space="0" w:color="auto"/>
            <w:right w:val="none" w:sz="0" w:space="0" w:color="auto"/>
          </w:divBdr>
        </w:div>
        <w:div w:id="993800765">
          <w:marLeft w:val="0"/>
          <w:marRight w:val="0"/>
          <w:marTop w:val="0"/>
          <w:marBottom w:val="0"/>
          <w:divBdr>
            <w:top w:val="none" w:sz="0" w:space="0" w:color="auto"/>
            <w:left w:val="none" w:sz="0" w:space="0" w:color="auto"/>
            <w:bottom w:val="none" w:sz="0" w:space="0" w:color="auto"/>
            <w:right w:val="none" w:sz="0" w:space="0" w:color="auto"/>
          </w:divBdr>
        </w:div>
        <w:div w:id="1840926321">
          <w:marLeft w:val="0"/>
          <w:marRight w:val="0"/>
          <w:marTop w:val="0"/>
          <w:marBottom w:val="0"/>
          <w:divBdr>
            <w:top w:val="none" w:sz="0" w:space="0" w:color="auto"/>
            <w:left w:val="none" w:sz="0" w:space="0" w:color="auto"/>
            <w:bottom w:val="none" w:sz="0" w:space="0" w:color="auto"/>
            <w:right w:val="none" w:sz="0" w:space="0" w:color="auto"/>
          </w:divBdr>
        </w:div>
        <w:div w:id="1912110623">
          <w:marLeft w:val="0"/>
          <w:marRight w:val="0"/>
          <w:marTop w:val="0"/>
          <w:marBottom w:val="0"/>
          <w:divBdr>
            <w:top w:val="none" w:sz="0" w:space="0" w:color="auto"/>
            <w:left w:val="none" w:sz="0" w:space="0" w:color="auto"/>
            <w:bottom w:val="none" w:sz="0" w:space="0" w:color="auto"/>
            <w:right w:val="none" w:sz="0" w:space="0" w:color="auto"/>
          </w:divBdr>
        </w:div>
        <w:div w:id="383721569">
          <w:marLeft w:val="0"/>
          <w:marRight w:val="0"/>
          <w:marTop w:val="0"/>
          <w:marBottom w:val="0"/>
          <w:divBdr>
            <w:top w:val="none" w:sz="0" w:space="0" w:color="auto"/>
            <w:left w:val="none" w:sz="0" w:space="0" w:color="auto"/>
            <w:bottom w:val="none" w:sz="0" w:space="0" w:color="auto"/>
            <w:right w:val="none" w:sz="0" w:space="0" w:color="auto"/>
          </w:divBdr>
        </w:div>
        <w:div w:id="1045981588">
          <w:marLeft w:val="0"/>
          <w:marRight w:val="0"/>
          <w:marTop w:val="0"/>
          <w:marBottom w:val="0"/>
          <w:divBdr>
            <w:top w:val="none" w:sz="0" w:space="0" w:color="auto"/>
            <w:left w:val="none" w:sz="0" w:space="0" w:color="auto"/>
            <w:bottom w:val="none" w:sz="0" w:space="0" w:color="auto"/>
            <w:right w:val="none" w:sz="0" w:space="0" w:color="auto"/>
          </w:divBdr>
        </w:div>
        <w:div w:id="79643025">
          <w:marLeft w:val="0"/>
          <w:marRight w:val="0"/>
          <w:marTop w:val="0"/>
          <w:marBottom w:val="0"/>
          <w:divBdr>
            <w:top w:val="none" w:sz="0" w:space="0" w:color="auto"/>
            <w:left w:val="none" w:sz="0" w:space="0" w:color="auto"/>
            <w:bottom w:val="none" w:sz="0" w:space="0" w:color="auto"/>
            <w:right w:val="none" w:sz="0" w:space="0" w:color="auto"/>
          </w:divBdr>
        </w:div>
        <w:div w:id="1947077651">
          <w:marLeft w:val="0"/>
          <w:marRight w:val="0"/>
          <w:marTop w:val="0"/>
          <w:marBottom w:val="0"/>
          <w:divBdr>
            <w:top w:val="none" w:sz="0" w:space="0" w:color="auto"/>
            <w:left w:val="none" w:sz="0" w:space="0" w:color="auto"/>
            <w:bottom w:val="none" w:sz="0" w:space="0" w:color="auto"/>
            <w:right w:val="none" w:sz="0" w:space="0" w:color="auto"/>
          </w:divBdr>
        </w:div>
        <w:div w:id="1381711521">
          <w:marLeft w:val="0"/>
          <w:marRight w:val="0"/>
          <w:marTop w:val="0"/>
          <w:marBottom w:val="0"/>
          <w:divBdr>
            <w:top w:val="none" w:sz="0" w:space="0" w:color="auto"/>
            <w:left w:val="none" w:sz="0" w:space="0" w:color="auto"/>
            <w:bottom w:val="none" w:sz="0" w:space="0" w:color="auto"/>
            <w:right w:val="none" w:sz="0" w:space="0" w:color="auto"/>
          </w:divBdr>
        </w:div>
        <w:div w:id="1049915778">
          <w:marLeft w:val="0"/>
          <w:marRight w:val="0"/>
          <w:marTop w:val="0"/>
          <w:marBottom w:val="0"/>
          <w:divBdr>
            <w:top w:val="none" w:sz="0" w:space="0" w:color="auto"/>
            <w:left w:val="none" w:sz="0" w:space="0" w:color="auto"/>
            <w:bottom w:val="none" w:sz="0" w:space="0" w:color="auto"/>
            <w:right w:val="none" w:sz="0" w:space="0" w:color="auto"/>
          </w:divBdr>
        </w:div>
        <w:div w:id="821239277">
          <w:marLeft w:val="0"/>
          <w:marRight w:val="0"/>
          <w:marTop w:val="0"/>
          <w:marBottom w:val="0"/>
          <w:divBdr>
            <w:top w:val="none" w:sz="0" w:space="0" w:color="auto"/>
            <w:left w:val="none" w:sz="0" w:space="0" w:color="auto"/>
            <w:bottom w:val="none" w:sz="0" w:space="0" w:color="auto"/>
            <w:right w:val="none" w:sz="0" w:space="0" w:color="auto"/>
          </w:divBdr>
        </w:div>
        <w:div w:id="385952361">
          <w:marLeft w:val="0"/>
          <w:marRight w:val="0"/>
          <w:marTop w:val="0"/>
          <w:marBottom w:val="0"/>
          <w:divBdr>
            <w:top w:val="none" w:sz="0" w:space="0" w:color="auto"/>
            <w:left w:val="none" w:sz="0" w:space="0" w:color="auto"/>
            <w:bottom w:val="none" w:sz="0" w:space="0" w:color="auto"/>
            <w:right w:val="none" w:sz="0" w:space="0" w:color="auto"/>
          </w:divBdr>
        </w:div>
        <w:div w:id="584611707">
          <w:marLeft w:val="0"/>
          <w:marRight w:val="0"/>
          <w:marTop w:val="0"/>
          <w:marBottom w:val="0"/>
          <w:divBdr>
            <w:top w:val="none" w:sz="0" w:space="0" w:color="auto"/>
            <w:left w:val="none" w:sz="0" w:space="0" w:color="auto"/>
            <w:bottom w:val="none" w:sz="0" w:space="0" w:color="auto"/>
            <w:right w:val="none" w:sz="0" w:space="0" w:color="auto"/>
          </w:divBdr>
        </w:div>
        <w:div w:id="1417941691">
          <w:marLeft w:val="0"/>
          <w:marRight w:val="0"/>
          <w:marTop w:val="0"/>
          <w:marBottom w:val="0"/>
          <w:divBdr>
            <w:top w:val="none" w:sz="0" w:space="0" w:color="auto"/>
            <w:left w:val="none" w:sz="0" w:space="0" w:color="auto"/>
            <w:bottom w:val="none" w:sz="0" w:space="0" w:color="auto"/>
            <w:right w:val="none" w:sz="0" w:space="0" w:color="auto"/>
          </w:divBdr>
        </w:div>
        <w:div w:id="720792867">
          <w:marLeft w:val="0"/>
          <w:marRight w:val="0"/>
          <w:marTop w:val="0"/>
          <w:marBottom w:val="0"/>
          <w:divBdr>
            <w:top w:val="none" w:sz="0" w:space="0" w:color="auto"/>
            <w:left w:val="none" w:sz="0" w:space="0" w:color="auto"/>
            <w:bottom w:val="none" w:sz="0" w:space="0" w:color="auto"/>
            <w:right w:val="none" w:sz="0" w:space="0" w:color="auto"/>
          </w:divBdr>
        </w:div>
        <w:div w:id="300431362">
          <w:marLeft w:val="0"/>
          <w:marRight w:val="0"/>
          <w:marTop w:val="0"/>
          <w:marBottom w:val="0"/>
          <w:divBdr>
            <w:top w:val="none" w:sz="0" w:space="0" w:color="auto"/>
            <w:left w:val="none" w:sz="0" w:space="0" w:color="auto"/>
            <w:bottom w:val="none" w:sz="0" w:space="0" w:color="auto"/>
            <w:right w:val="none" w:sz="0" w:space="0" w:color="auto"/>
          </w:divBdr>
        </w:div>
        <w:div w:id="998004430">
          <w:marLeft w:val="0"/>
          <w:marRight w:val="0"/>
          <w:marTop w:val="0"/>
          <w:marBottom w:val="0"/>
          <w:divBdr>
            <w:top w:val="none" w:sz="0" w:space="0" w:color="auto"/>
            <w:left w:val="none" w:sz="0" w:space="0" w:color="auto"/>
            <w:bottom w:val="none" w:sz="0" w:space="0" w:color="auto"/>
            <w:right w:val="none" w:sz="0" w:space="0" w:color="auto"/>
          </w:divBdr>
        </w:div>
        <w:div w:id="1323967712">
          <w:marLeft w:val="0"/>
          <w:marRight w:val="0"/>
          <w:marTop w:val="0"/>
          <w:marBottom w:val="0"/>
          <w:divBdr>
            <w:top w:val="none" w:sz="0" w:space="0" w:color="auto"/>
            <w:left w:val="none" w:sz="0" w:space="0" w:color="auto"/>
            <w:bottom w:val="none" w:sz="0" w:space="0" w:color="auto"/>
            <w:right w:val="none" w:sz="0" w:space="0" w:color="auto"/>
          </w:divBdr>
        </w:div>
        <w:div w:id="874346746">
          <w:marLeft w:val="0"/>
          <w:marRight w:val="0"/>
          <w:marTop w:val="0"/>
          <w:marBottom w:val="0"/>
          <w:divBdr>
            <w:top w:val="none" w:sz="0" w:space="0" w:color="auto"/>
            <w:left w:val="none" w:sz="0" w:space="0" w:color="auto"/>
            <w:bottom w:val="none" w:sz="0" w:space="0" w:color="auto"/>
            <w:right w:val="none" w:sz="0" w:space="0" w:color="auto"/>
          </w:divBdr>
        </w:div>
        <w:div w:id="1071079184">
          <w:marLeft w:val="0"/>
          <w:marRight w:val="0"/>
          <w:marTop w:val="0"/>
          <w:marBottom w:val="0"/>
          <w:divBdr>
            <w:top w:val="none" w:sz="0" w:space="0" w:color="auto"/>
            <w:left w:val="none" w:sz="0" w:space="0" w:color="auto"/>
            <w:bottom w:val="none" w:sz="0" w:space="0" w:color="auto"/>
            <w:right w:val="none" w:sz="0" w:space="0" w:color="auto"/>
          </w:divBdr>
        </w:div>
        <w:div w:id="482936676">
          <w:marLeft w:val="0"/>
          <w:marRight w:val="0"/>
          <w:marTop w:val="0"/>
          <w:marBottom w:val="0"/>
          <w:divBdr>
            <w:top w:val="none" w:sz="0" w:space="0" w:color="auto"/>
            <w:left w:val="none" w:sz="0" w:space="0" w:color="auto"/>
            <w:bottom w:val="none" w:sz="0" w:space="0" w:color="auto"/>
            <w:right w:val="none" w:sz="0" w:space="0" w:color="auto"/>
          </w:divBdr>
        </w:div>
        <w:div w:id="505097248">
          <w:marLeft w:val="0"/>
          <w:marRight w:val="0"/>
          <w:marTop w:val="0"/>
          <w:marBottom w:val="0"/>
          <w:divBdr>
            <w:top w:val="none" w:sz="0" w:space="0" w:color="auto"/>
            <w:left w:val="none" w:sz="0" w:space="0" w:color="auto"/>
            <w:bottom w:val="none" w:sz="0" w:space="0" w:color="auto"/>
            <w:right w:val="none" w:sz="0" w:space="0" w:color="auto"/>
          </w:divBdr>
        </w:div>
        <w:div w:id="1539664727">
          <w:marLeft w:val="0"/>
          <w:marRight w:val="0"/>
          <w:marTop w:val="0"/>
          <w:marBottom w:val="0"/>
          <w:divBdr>
            <w:top w:val="none" w:sz="0" w:space="0" w:color="auto"/>
            <w:left w:val="none" w:sz="0" w:space="0" w:color="auto"/>
            <w:bottom w:val="none" w:sz="0" w:space="0" w:color="auto"/>
            <w:right w:val="none" w:sz="0" w:space="0" w:color="auto"/>
          </w:divBdr>
        </w:div>
        <w:div w:id="45425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snowyhydro.com.au/our-scheme/snowy20/"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ced390d3a37fb66d29e279aa0d56688d">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f46dbde88ff3a907abf6e15d3236e730"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AIP Plan</TermName>
          <TermId xmlns="http://schemas.microsoft.com/office/infopath/2007/PartnerControls">d6d5fd09-436e-444c-a5de-746217f86c54</TermId>
        </TermInfo>
      </Terms>
    </a3abd1c0c7bd4d66b784ef4fa32239ba>
    <TaxCatchAll xmlns="498945f5-0448-4b4c-97d9-fcd4d7a5a1b1">
      <Value>25</Value>
      <Value>416</Value>
      <Value>233</Value>
      <Value>1344</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 xmlns="http://schemas.microsoft.com/office/infopath/2007/PartnerControls">Snowy Hydro Limited</TermName>
          <TermId xmlns="http://schemas.microsoft.com/office/infopath/2007/PartnerControls">11ac0b65-59e3-4457-8606-54660bff7f19</TermId>
        </TermInfo>
      </Term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A3PSR54DD4M5-1731987098-1899</_dlc_DocId>
    <_dlc_DocIdUrl xmlns="498945f5-0448-4b4c-97d9-fcd4d7a5a1b1">
      <Url>https://dochub/div/sectoralgrowthpolicy/businessfunctions/australianindustryparticipation/australianindustryparticipationauthority/australianjobsact2013/_layouts/15/DocIdRedir.aspx?ID=A3PSR54DD4M5-1731987098-1899</Url>
      <Description>A3PSR54DD4M5-1731987098-1899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9F46DD-6B4D-41D3-9434-5A935E6B77B8}"/>
</file>

<file path=customXml/itemProps2.xml><?xml version="1.0" encoding="utf-8"?>
<ds:datastoreItem xmlns:ds="http://schemas.openxmlformats.org/officeDocument/2006/customXml" ds:itemID="{B74B9A9E-6DBF-4D3D-89D9-25D85663CB29}">
  <ds:schemaRefs>
    <ds:schemaRef ds:uri="http://purl.org/dc/dcmitype/"/>
    <ds:schemaRef ds:uri="http://schemas.microsoft.com/sharepoint/v4"/>
    <ds:schemaRef ds:uri="http://schemas.microsoft.com/office/2006/documentManagement/types"/>
    <ds:schemaRef ds:uri="http://purl.org/dc/terms/"/>
    <ds:schemaRef ds:uri="http://schemas.microsoft.com/sharepoint/v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98945f5-0448-4b4c-97d9-fcd4d7a5a1b1"/>
    <ds:schemaRef ds:uri="http://www.w3.org/XML/1998/namespace"/>
  </ds:schemaRefs>
</ds:datastoreItem>
</file>

<file path=customXml/itemProps3.xml><?xml version="1.0" encoding="utf-8"?>
<ds:datastoreItem xmlns:ds="http://schemas.openxmlformats.org/officeDocument/2006/customXml" ds:itemID="{C810D004-6C99-464A-9824-E3B5435AC586}">
  <ds:schemaRefs>
    <ds:schemaRef ds:uri="http://schemas.microsoft.com/sharepoint/v3/contenttype/forms"/>
  </ds:schemaRefs>
</ds:datastoreItem>
</file>

<file path=customXml/itemProps4.xml><?xml version="1.0" encoding="utf-8"?>
<ds:datastoreItem xmlns:ds="http://schemas.openxmlformats.org/officeDocument/2006/customXml" ds:itemID="{1116F140-ACFF-4D96-A94A-6C138613D7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Snowy Hydro Limited</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DaggarNickson</dc:creator>
  <cp:lastModifiedBy>Paul Wright</cp:lastModifiedBy>
  <cp:revision>6</cp:revision>
  <dcterms:created xsi:type="dcterms:W3CDTF">2019-06-18T23:12:00Z</dcterms:created>
  <dcterms:modified xsi:type="dcterms:W3CDTF">2019-06-19T06:28:00Z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d113aff2-c5e9-42de-925d-0a822d866c89</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1344;#Snowy Hydro Limited|11ac0b65-59e3-4457-8606-54660bff7f19</vt:lpwstr>
  </property>
  <property fmtid="{D5CDD505-2E9C-101B-9397-08002B2CF9AE}" pid="7" name="DocHub_DocumentType">
    <vt:lpwstr>233;#Executive Summary|67166ce2-6da7-40d0-8019-f7580244f8f4</vt:lpwstr>
  </property>
  <property fmtid="{D5CDD505-2E9C-101B-9397-08002B2CF9AE}" pid="8" name="DocHub_SecurityClassification">
    <vt:lpwstr>25;#For Official Use Only|11f6fb0b-52ce-4109-8f7f-521b2a62f692</vt:lpwstr>
  </property>
  <property fmtid="{D5CDD505-2E9C-101B-9397-08002B2CF9AE}" pid="9" name="DocHub_GovernmentEntities">
    <vt:lpwstr/>
  </property>
  <property fmtid="{D5CDD505-2E9C-101B-9397-08002B2CF9AE}" pid="10" name="DocHub_AIPProcess">
    <vt:lpwstr>416;#AIP Plan|d6d5fd09-436e-444c-a5de-746217f86c54</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ies>
</file>