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1" w:after="0" w:line="274" w:lineRule="exact"/>
        <w:ind w:right="0" w:left="0" w:firstLine="0"/>
        <w:jc w:val="center"/>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Australian Industry Participation (AIP) Plan Executive Summary</w:t>
      </w:r>
    </w:p>
    <w:p>
      <w:pPr>
        <w:pageBreakBefore w:val="false"/>
        <w:spacing w:before="241" w:after="0" w:line="230" w:lineRule="exact"/>
        <w:ind w:right="0" w:left="0" w:firstLine="0"/>
        <w:jc w:val="left"/>
        <w:textAlignment w:val="baseline"/>
        <w:rPr>
          <w:rFonts w:ascii="Arial" w:hAnsi="Arial" w:eastAsia="Arial"/>
          <w:b w:val="true"/>
          <w:color w:val="000000"/>
          <w:spacing w:val="0"/>
          <w:w w:val="100"/>
          <w:sz w:val="20"/>
          <w:u w:val="single"/>
          <w:vertAlign w:val="baseline"/>
          <w:lang w:val="en-US"/>
        </w:rPr>
      </w:pPr>
      <w:r>
        <w:rPr>
          <w:rFonts w:ascii="Arial" w:hAnsi="Arial" w:eastAsia="Arial"/>
          <w:b w:val="true"/>
          <w:color w:val="000000"/>
          <w:spacing w:val="0"/>
          <w:w w:val="100"/>
          <w:sz w:val="20"/>
          <w:u w:val="single"/>
          <w:vertAlign w:val="baseline"/>
          <w:lang w:val="en-US"/>
        </w:rPr>
        <w:t xml:space="preserve">1. General Project Details </w:t>
      </w:r>
    </w:p>
    <w:p>
      <w:pPr>
        <w:pageBreakBefore w:val="false"/>
        <w:spacing w:before="12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Company Name: </w:t>
      </w:r>
      <w:r>
        <w:rPr>
          <w:rFonts w:ascii="Arial" w:hAnsi="Arial" w:eastAsia="Arial"/>
          <w:color w:val="000000"/>
          <w:spacing w:val="0"/>
          <w:w w:val="100"/>
          <w:sz w:val="20"/>
          <w:vertAlign w:val="baseline"/>
          <w:lang w:val="en-US"/>
        </w:rPr>
        <w:t xml:space="preserve">Commonwealth Scientific and Industrial Research Organisation (CSIRO)</w:t>
      </w:r>
    </w:p>
    <w:p>
      <w:pPr>
        <w:pageBreakBefore w:val="false"/>
        <w:spacing w:before="116"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Description of the project:</w:t>
      </w:r>
    </w:p>
    <w:p>
      <w:pPr>
        <w:pageBreakBefore w:val="false"/>
        <w:spacing w:before="203"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National Collections Building (NCB) project objective is to consolidate the Canberra-based National Research Collections into new and refurbished fit-for-purpose facilities. The precinct will house four Canberra-based National Biological Research Collections - the Australian National Insect Collection (ANIC), Australian National Wildlife Collection (ANWC), The Australian Tree Seed Collection and the Australian National Herbarium (ANH), alongside the CSIRO Dadswell Wood Collection, the NRCA Digitisation Team and the NCMI Leadership Team.</w:t>
      </w:r>
    </w:p>
    <w:p>
      <w:pPr>
        <w:pageBreakBefore w:val="false"/>
        <w:spacing w:before="198" w:after="0" w:line="230"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project includes the construction of a new building approximately 7300 square metres in floor area which will provide a fit-for-purpose Collections facility on CSIRO’s Black Mountain site. The new Collections building will be constructed alongside the current Australian National Herbarium Buildings (Buildings 502 and 502A) with a link to connect the new building to the existing Herbarium.</w:t>
      </w:r>
    </w:p>
    <w:p>
      <w:pPr>
        <w:pageBreakBefore w:val="false"/>
        <w:spacing w:before="122" w:after="0" w:line="230"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project also includes minor reconfiguration and refurbishment works to approximately 180 square metres of floor area within the existing Herbarium building to provide the connection to the new building as well as providing improved space for a satellite digitisation facility and provision of accommodation for the Dadswell Wood Collection.</w:t>
      </w:r>
    </w:p>
    <w:p>
      <w:pPr>
        <w:pageBreakBefore w:val="false"/>
        <w:spacing w:before="120" w:after="0" w:line="230"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detailed design is scheduled to commence in October 2020 with completion proposed by March 2021.</w:t>
      </w:r>
    </w:p>
    <w:p>
      <w:pPr>
        <w:pageBreakBefore w:val="false"/>
        <w:spacing w:before="1" w:after="0" w:line="350" w:lineRule="exact"/>
        <w:ind w:right="165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Construction is proposed to commence in June 2021 and completion by June 2023. Upon completion, the new facilities will:</w:t>
      </w:r>
    </w:p>
    <w:p>
      <w:pPr>
        <w:pageBreakBefore w:val="false"/>
        <w:numPr>
          <w:ilvl w:val="0"/>
          <w:numId w:val="1"/>
        </w:numPr>
        <w:tabs>
          <w:tab w:val="clear" w:pos="360"/>
          <w:tab w:val="left" w:pos="792"/>
        </w:tabs>
        <w:spacing w:before="111" w:after="0" w:line="249"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Achieve a precinct style consolidation of CSIRO’s Canberra-based collections</w:t>
      </w:r>
    </w:p>
    <w:p>
      <w:pPr>
        <w:pageBreakBefore w:val="false"/>
        <w:numPr>
          <w:ilvl w:val="0"/>
          <w:numId w:val="1"/>
        </w:numPr>
        <w:tabs>
          <w:tab w:val="clear" w:pos="360"/>
          <w:tab w:val="left" w:pos="792"/>
        </w:tabs>
        <w:spacing w:before="15" w:after="0" w:line="230" w:lineRule="exact"/>
        <w:ind w:right="432"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new facility will include collection halls, molecular laboratories and digitisation suites designed to be globally innovative, safe, efficient, adaptable and configurable</w:t>
      </w:r>
    </w:p>
    <w:p>
      <w:pPr>
        <w:pageBreakBefore w:val="false"/>
        <w:numPr>
          <w:ilvl w:val="0"/>
          <w:numId w:val="1"/>
        </w:numPr>
        <w:tabs>
          <w:tab w:val="clear" w:pos="360"/>
          <w:tab w:val="left" w:pos="792"/>
        </w:tabs>
        <w:spacing w:before="14" w:after="0" w:line="231" w:lineRule="exact"/>
        <w:ind w:right="216"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Provide modern and adaptable research facilities for analysis of collections specimens and associated metadata</w:t>
      </w:r>
    </w:p>
    <w:p>
      <w:pPr>
        <w:pageBreakBefore w:val="false"/>
        <w:numPr>
          <w:ilvl w:val="0"/>
          <w:numId w:val="1"/>
        </w:numPr>
        <w:tabs>
          <w:tab w:val="clear" w:pos="360"/>
          <w:tab w:val="left" w:pos="792"/>
        </w:tabs>
        <w:spacing w:before="10" w:after="0" w:line="230" w:lineRule="exact"/>
        <w:ind w:right="144"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Provide suitable protection against the environment, weather and vermin, enabling the long</w:t>
        <w:softHyphen/>
      </w:r>
      <w:r>
        <w:rPr>
          <w:rFonts w:ascii="Arial" w:hAnsi="Arial" w:eastAsia="Arial"/>
          <w:color w:val="000000"/>
          <w:spacing w:val="0"/>
          <w:w w:val="100"/>
          <w:sz w:val="20"/>
          <w:vertAlign w:val="baseline"/>
          <w:lang w:val="en-US"/>
        </w:rPr>
        <w:t xml:space="preserve">term physical security of the approximately 12 million (and growing) specimens held in the collection</w:t>
      </w:r>
    </w:p>
    <w:p>
      <w:pPr>
        <w:pageBreakBefore w:val="false"/>
        <w:numPr>
          <w:ilvl w:val="0"/>
          <w:numId w:val="1"/>
        </w:numPr>
        <w:tabs>
          <w:tab w:val="clear" w:pos="360"/>
          <w:tab w:val="left" w:pos="792"/>
        </w:tabs>
        <w:spacing w:before="14" w:after="0" w:line="229" w:lineRule="exact"/>
        <w:ind w:right="216" w:left="792" w:hanging="36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Provide flexible and adaptable Collection storage solutions that are fit for purpose now and into the future (facilitating current and future growth of the Collections, staff and equipment)</w:t>
      </w:r>
    </w:p>
    <w:p>
      <w:pPr>
        <w:pageBreakBefore w:val="false"/>
        <w:numPr>
          <w:ilvl w:val="0"/>
          <w:numId w:val="1"/>
        </w:numPr>
        <w:tabs>
          <w:tab w:val="clear" w:pos="360"/>
          <w:tab w:val="left" w:pos="792"/>
        </w:tabs>
        <w:spacing w:before="0" w:after="0" w:line="242"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Ensure best-practice security and preservation of the Collections</w:t>
      </w:r>
    </w:p>
    <w:p>
      <w:pPr>
        <w:pageBreakBefore w:val="false"/>
        <w:numPr>
          <w:ilvl w:val="0"/>
          <w:numId w:val="1"/>
        </w:numPr>
        <w:tabs>
          <w:tab w:val="clear" w:pos="360"/>
          <w:tab w:val="left" w:pos="792"/>
        </w:tabs>
        <w:spacing w:before="0" w:after="0" w:line="245" w:lineRule="exact"/>
        <w:ind w:right="0" w:left="792"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Implement innovative principles in Collection Management for the future</w:t>
      </w:r>
    </w:p>
    <w:p>
      <w:pPr>
        <w:pageBreakBefore w:val="false"/>
        <w:spacing w:before="496"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Estimated total project value: </w:t>
      </w:r>
      <w:r>
        <w:rPr>
          <w:rFonts w:ascii="Arial" w:hAnsi="Arial" w:eastAsia="Arial"/>
          <w:color w:val="000000"/>
          <w:spacing w:val="0"/>
          <w:w w:val="100"/>
          <w:sz w:val="20"/>
          <w:vertAlign w:val="baseline"/>
          <w:lang w:val="en-US"/>
        </w:rPr>
        <w:t xml:space="preserve">$70M</w:t>
      </w:r>
    </w:p>
    <w:p>
      <w:pPr>
        <w:pageBreakBefore w:val="false"/>
        <w:tabs>
          <w:tab w:val="left" w:leader="none" w:pos="432"/>
        </w:tabs>
        <w:spacing w:before="116" w:after="0" w:line="230" w:lineRule="exact"/>
        <w:ind w:right="360" w:left="432" w:hanging="432"/>
        <w:jc w:val="left"/>
        <w:textAlignment w:val="baseline"/>
        <w:rPr>
          <w:rFonts w:ascii="Courier New" w:hAnsi="Courier New" w:eastAsia="Courier New"/>
          <w:b w:val="true"/>
          <w:color w:val="000000"/>
          <w:spacing w:val="0"/>
          <w:w w:val="100"/>
          <w:sz w:val="19"/>
          <w:vertAlign w:val="baseline"/>
          <w:lang w:val="en-US"/>
        </w:rPr>
      </w:pPr>
      <w:r>
        <w:rPr>
          <w:rFonts w:ascii="Courier New" w:hAnsi="Courier New" w:eastAsia="Courier New"/>
          <w:b w:val="true"/>
          <w:color w:val="000000"/>
          <w:spacing w:val="0"/>
          <w:w w:val="100"/>
          <w:sz w:val="19"/>
          <w:vertAlign w:val="baseline"/>
          <w:lang w:val="en-US"/>
        </w:rPr>
        <w:t xml:space="preserve">o	</w:t>
      </w:r>
      <w:r>
        <w:rPr>
          <w:rFonts w:ascii="Arial" w:hAnsi="Arial" w:eastAsia="Arial"/>
          <w:b w:val="true"/>
          <w:color w:val="000000"/>
          <w:spacing w:val="0"/>
          <w:w w:val="100"/>
          <w:sz w:val="20"/>
          <w:vertAlign w:val="baseline"/>
          <w:lang w:val="en-US"/>
        </w:rPr>
        <w:t xml:space="preserve">Estimated value of key goods and services procured for the project (if different to total project value): </w:t>
      </w:r>
      <w:r>
        <w:rPr>
          <w:rFonts w:ascii="Arial" w:hAnsi="Arial" w:eastAsia="Arial"/>
          <w:color w:val="000000"/>
          <w:spacing w:val="0"/>
          <w:w w:val="100"/>
          <w:sz w:val="20"/>
          <w:vertAlign w:val="baseline"/>
          <w:lang w:val="en-US"/>
        </w:rPr>
        <w:t xml:space="preserve">N/A</w:t>
      </w:r>
    </w:p>
    <w:p>
      <w:pPr>
        <w:pageBreakBefore w:val="false"/>
        <w:spacing w:before="403" w:after="0" w:line="230" w:lineRule="exact"/>
        <w:ind w:right="144"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Project location: </w:t>
      </w:r>
      <w:r>
        <w:rPr>
          <w:rFonts w:ascii="Arial" w:hAnsi="Arial" w:eastAsia="Arial"/>
          <w:color w:val="000000"/>
          <w:spacing w:val="0"/>
          <w:w w:val="100"/>
          <w:sz w:val="20"/>
          <w:vertAlign w:val="baseline"/>
          <w:lang w:val="en-US"/>
        </w:rPr>
        <w:t xml:space="preserve">Black Mountain Science &amp; Innovation Park, Clunies Ross Street, Black Mountain A.C.T 2601</w:t>
      </w:r>
    </w:p>
    <w:p>
      <w:pPr>
        <w:pageBreakBefore w:val="false"/>
        <w:spacing w:before="400" w:after="0" w:line="230" w:lineRule="exact"/>
        <w:ind w:right="0" w:left="0" w:firstLine="0"/>
        <w:jc w:val="left"/>
        <w:textAlignment w:val="baseline"/>
        <w:rPr>
          <w:rFonts w:ascii="Arial" w:hAnsi="Arial" w:eastAsia="Arial"/>
          <w:b w:val="true"/>
          <w:color w:val="000000"/>
          <w:spacing w:val="4"/>
          <w:w w:val="100"/>
          <w:sz w:val="20"/>
          <w:vertAlign w:val="baseline"/>
          <w:lang w:val="en-US"/>
        </w:rPr>
      </w:pPr>
      <w:r>
        <w:rPr>
          <w:rFonts w:ascii="Arial" w:hAnsi="Arial" w:eastAsia="Arial"/>
          <w:b w:val="true"/>
          <w:color w:val="000000"/>
          <w:spacing w:val="4"/>
          <w:w w:val="100"/>
          <w:sz w:val="20"/>
          <w:vertAlign w:val="baseline"/>
          <w:lang w:val="en-US"/>
        </w:rPr>
        <w:t xml:space="preserve">Link to project information: </w:t>
      </w:r>
      <w:hyperlink r:id="dhId1">
        <w:r>
          <w:rPr>
            <w:rFonts w:ascii="Arial" w:hAnsi="Arial" w:eastAsia="Arial"/>
            <w:color w:val="0000FF"/>
            <w:spacing w:val="4"/>
            <w:w w:val="100"/>
            <w:sz w:val="20"/>
            <w:u w:val="single"/>
            <w:vertAlign w:val="baseline"/>
            <w:lang w:val="en-US"/>
          </w:rPr>
          <w:t xml:space="preserve">www.csiro.au</w:t>
        </w:r>
      </w:hyperlink>
      <w:r>
        <w:rPr>
          <w:rFonts w:ascii="Arial" w:hAnsi="Arial" w:eastAsia="Arial"/>
          <w:color w:val="000000"/>
          <w:spacing w:val="4"/>
          <w:w w:val="100"/>
          <w:sz w:val="20"/>
          <w:vertAlign w:val="baseline"/>
          <w:lang w:val="en-US"/>
        </w:rPr>
        <w:t xml:space="preserve">
</w:t>
      </w:r>
    </w:p>
    <w:p>
      <w:pPr>
        <w:pageBreakBefore w:val="false"/>
        <w:spacing w:before="404"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Project contact for procurement information:</w:t>
      </w:r>
    </w:p>
    <w:p>
      <w:pPr>
        <w:pageBreakBefore w:val="false"/>
        <w:spacing w:before="120"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Project Manager: Tony Cuzzillo</w:t>
      </w:r>
    </w:p>
    <w:p>
      <w:pPr>
        <w:pageBreakBefore w:val="false"/>
        <w:spacing w:before="121" w:after="0" w:line="231"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Email:</w:t>
      </w:r>
      <w:hyperlink r:id="dhId2">
        <w:r>
          <w:rPr>
            <w:rFonts w:ascii="Arial" w:hAnsi="Arial" w:eastAsia="Arial"/>
            <w:color w:val="0000FF"/>
            <w:spacing w:val="0"/>
            <w:w w:val="100"/>
            <w:sz w:val="20"/>
            <w:u w:val="single"/>
            <w:vertAlign w:val="baseline"/>
            <w:lang w:val="en-US"/>
          </w:rPr>
          <w:t xml:space="preserve"> tony.cuzzillo@csiro.au</w:t>
        </w:r>
      </w:hyperlink>
      <w:r>
        <w:rPr>
          <w:rFonts w:ascii="Arial" w:hAnsi="Arial" w:eastAsia="Arial"/>
          <w:color w:val="000000"/>
          <w:spacing w:val="0"/>
          <w:w w:val="100"/>
          <w:sz w:val="20"/>
          <w:vertAlign w:val="baseline"/>
          <w:lang w:val="en-US"/>
        </w:rPr>
        <w:t xml:space="preserve"> </w:t>
      </w:r>
    </w:p>
    <w:p>
      <w:pPr>
        <w:pageBreakBefore w:val="false"/>
        <w:spacing w:before="115"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Phone: +61 2 62183512</w:t>
      </w:r>
    </w:p>
    <w:p>
      <w:pPr>
        <w:pageBreakBefore w:val="false"/>
        <w:spacing w:before="34" w:after="0" w:line="184" w:lineRule="exact"/>
        <w:ind w:right="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Department of Industry, Science, Energy and Resources</w:t>
      </w:r>
    </w:p>
    <w:p>
      <w:pPr>
        <w:pageBreakBefore w:val="false"/>
        <w:spacing w:before="2" w:after="0" w:line="179" w:lineRule="exact"/>
        <w:ind w:right="0" w:left="6912"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AIP Plan Executive Summary Version 3.5 March 2020</w:t>
      </w:r>
    </w:p>
    <w:p>
      <w:pPr>
        <w:pageBreakBefore w:val="false"/>
        <w:spacing w:before="0" w:after="0" w:line="179"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1</w:t>
      </w:r>
    </w:p>
    <w:p>
      <w:pPr>
        <w:sectPr>
          <w:type w:val="nextPage"/>
          <w:pgSz w:w="11909" w:h="16838" w:orient="portrait"/>
          <w:pgMar w:bottom="302" w:top="1440" w:right="1434" w:left="1435" w:header="720" w:footer="720"/>
          <w:titlePg w:val="false"/>
          <w:textDirection w:val="lrTb"/>
        </w:sectPr>
      </w:pPr>
    </w:p>
    <w:p>
      <w:pPr>
        <w:pageBreakBefore w:val="false"/>
        <w:numPr>
          <w:ilvl w:val="0"/>
          <w:numId w:val="2"/>
        </w:numPr>
        <w:tabs>
          <w:tab w:val="clear" w:pos="216"/>
          <w:tab w:val="left" w:pos="216"/>
        </w:tabs>
        <w:spacing w:before="7" w:after="94" w:line="230" w:lineRule="exact"/>
        <w:ind w:right="0" w:left="0" w:firstLine="0"/>
        <w:jc w:val="left"/>
        <w:textAlignment w:val="baseline"/>
        <w:rPr>
          <w:rFonts w:ascii="Arial" w:hAnsi="Arial" w:eastAsia="Arial"/>
          <w:b w:val="true"/>
          <w:color w:val="000000"/>
          <w:spacing w:val="0"/>
          <w:w w:val="100"/>
          <w:sz w:val="20"/>
          <w:u w:val="single"/>
          <w:vertAlign w:val="baseline"/>
          <w:lang w:val="en-US"/>
        </w:rPr>
      </w:pPr>
      <w:r>
        <w:rPr>
          <w:rFonts w:ascii="Arial" w:hAnsi="Arial" w:eastAsia="Arial"/>
          <w:b w:val="true"/>
          <w:color w:val="000000"/>
          <w:spacing w:val="0"/>
          <w:w w:val="100"/>
          <w:sz w:val="20"/>
          <w:u w:val="single"/>
          <w:vertAlign w:val="baseline"/>
          <w:lang w:val="en-US"/>
        </w:rPr>
        <w:t xml:space="preserve">Opportunities for Australian industry involvement</w:t>
      </w:r>
    </w:p>
    <w:tbl>
      <w:tblPr>
        <w:jc w:val="left"/>
        <w:tblInd w:w="3" w:type="dxa"/>
        <w:tblLayout w:type="fixed"/>
        <w:tblCellMar>
          <w:left w:w="0" w:type="dxa"/>
          <w:right w:w="0" w:type="dxa"/>
        </w:tblCellMar>
      </w:tblPr>
      <w:tblGrid>
        <w:gridCol w:w="5962"/>
        <w:gridCol w:w="1531"/>
        <w:gridCol w:w="1536"/>
      </w:tblGrid>
      <w:tr>
        <w:trPr>
          <w:trHeight w:val="941" w:hRule="exact"/>
        </w:trPr>
        <w:tc>
          <w:tcPr>
            <w:tcW w:w="596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8" w:after="333" w:line="230" w:lineRule="exact"/>
              <w:ind w:right="468" w:left="108"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List of goods and services to be procured for the project and the expected opportunity for industry participation</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8" w:after="103" w:line="230"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Opportunities for Australian suppliers*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8" w:after="103" w:line="230" w:lineRule="exact"/>
              <w:ind w:right="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Opportunities for overseas suppliers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Project Management/Construction Administration Services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Design and Engineering Services Consultants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Quantity Surveying Services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Site Works (Earthworks, Roads, Footpaths and Paved Areas)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Landscaping</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Building Structure (Concrete floors, Columns, Stairs and Roof)</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External Walls, Windows and Shade Screens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Internal Partitions, Screens and Doors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Walls, Floors and Ceiling Finishes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5"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71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5" w:after="101" w:line="230" w:lineRule="exact"/>
              <w:ind w:right="432" w:left="1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Electrical including Information Technology Infrastructure and Security Services</w:t>
            </w:r>
          </w:p>
        </w:tc>
        <w:tc>
          <w:tcPr>
            <w:tcW w:w="7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7" w:after="331"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7" w:after="331"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Mechanical Services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6"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Hydraulic Services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6"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6"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1"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Fire Services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1"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1"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Lifts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10"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941"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6" w:after="105" w:line="230" w:lineRule="exact"/>
              <w:ind w:right="432" w:left="108"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Specialist Equipment and Fitments (eg: Laboratory Benching, Chemical Storage Cabinets, Fume Cupboards, Collection Storage)</w:t>
            </w:r>
          </w:p>
        </w:tc>
        <w:tc>
          <w:tcPr>
            <w:tcW w:w="74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7" w:after="566"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137" w:after="566"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8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1"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Workstations, Loose Furniture</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1"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01"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r>
        <w:trPr>
          <w:trHeight w:val="490" w:hRule="exact"/>
        </w:trPr>
        <w:tc>
          <w:tcPr>
            <w:tcW w:w="596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2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Relocations</w:t>
            </w:r>
          </w:p>
        </w:tc>
        <w:tc>
          <w:tcPr>
            <w:tcW w:w="74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25" w:line="228" w:lineRule="exact"/>
              <w:ind w:right="0" w:left="1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c>
          <w:tcPr>
            <w:tcW w:w="903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37" w:after="125" w:line="228" w:lineRule="exact"/>
              <w:ind w:right="0" w:left="10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w:t>
            </w:r>
          </w:p>
        </w:tc>
      </w:tr>
    </w:tbl>
    <w:p>
      <w:pPr>
        <w:pageBreakBefore w:val="false"/>
        <w:spacing w:before="0" w:after="0" w:line="221"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 Australian supplier means an entity that has an ABN or an ACN.</w:t>
      </w:r>
    </w:p>
    <w:p>
      <w:pPr>
        <w:pageBreakBefore w:val="false"/>
        <w:spacing w:before="121" w:after="0" w:line="230"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Disclaimer: The information provided in the table above is based on an initial assessment by the company. Any questions or issues should be raised with the project contact.</w:t>
      </w:r>
    </w:p>
    <w:p>
      <w:pPr>
        <w:pageBreakBefore w:val="false"/>
        <w:numPr>
          <w:ilvl w:val="0"/>
          <w:numId w:val="2"/>
        </w:numPr>
        <w:tabs>
          <w:tab w:val="clear" w:pos="216"/>
          <w:tab w:val="left" w:pos="216"/>
        </w:tabs>
        <w:spacing w:before="242" w:after="0" w:line="230" w:lineRule="exact"/>
        <w:ind w:right="0" w:left="0" w:firstLine="0"/>
        <w:jc w:val="left"/>
        <w:textAlignment w:val="baseline"/>
        <w:rPr>
          <w:rFonts w:ascii="Arial" w:hAnsi="Arial" w:eastAsia="Arial"/>
          <w:b w:val="true"/>
          <w:color w:val="000000"/>
          <w:spacing w:val="0"/>
          <w:w w:val="100"/>
          <w:sz w:val="20"/>
          <w:u w:val="single"/>
          <w:vertAlign w:val="baseline"/>
          <w:lang w:val="en-US"/>
        </w:rPr>
      </w:pPr>
      <w:r>
        <w:rPr>
          <w:rFonts w:ascii="Arial" w:hAnsi="Arial" w:eastAsia="Arial"/>
          <w:b w:val="true"/>
          <w:color w:val="000000"/>
          <w:spacing w:val="0"/>
          <w:w w:val="100"/>
          <w:sz w:val="20"/>
          <w:u w:val="single"/>
          <w:vertAlign w:val="baseline"/>
          <w:lang w:val="en-US"/>
        </w:rPr>
        <w:t xml:space="preserve">Communication Strategy</w:t>
      </w:r>
    </w:p>
    <w:p>
      <w:pPr>
        <w:pageBreakBefore w:val="false"/>
        <w:numPr>
          <w:ilvl w:val="0"/>
          <w:numId w:val="1"/>
        </w:numPr>
        <w:tabs>
          <w:tab w:val="clear" w:pos="360"/>
          <w:tab w:val="left" w:pos="360"/>
        </w:tabs>
        <w:spacing w:before="480" w:after="0" w:line="230" w:lineRule="exact"/>
        <w:ind w:right="288"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CSIRO will arrange to publish Project information on Commonwealth Government’s Austender portal (Annual Procurement Plan) to inform industry suppliers of upcoming procurements and business opportunities.</w:t>
      </w:r>
    </w:p>
    <w:p>
      <w:pPr>
        <w:pageBreakBefore w:val="false"/>
        <w:numPr>
          <w:ilvl w:val="0"/>
          <w:numId w:val="1"/>
        </w:numPr>
        <w:tabs>
          <w:tab w:val="clear" w:pos="360"/>
          <w:tab w:val="left" w:pos="360"/>
        </w:tabs>
        <w:spacing w:before="149" w:after="0" w:line="230" w:lineRule="exact"/>
        <w:ind w:right="144"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CSIRO will engage with the Industry Capability Network (ICN) to communicate opportunities and identify potential suppliers of goods and/or services to the project.</w:t>
      </w:r>
    </w:p>
    <w:p>
      <w:pPr>
        <w:pageBreakBefore w:val="false"/>
        <w:spacing w:before="736" w:after="0" w:line="184" w:lineRule="exact"/>
        <w:ind w:right="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Department of Industry, Science, Energy and Resources</w:t>
      </w:r>
    </w:p>
    <w:p>
      <w:pPr>
        <w:pageBreakBefore w:val="false"/>
        <w:spacing w:before="2" w:after="0" w:line="179" w:lineRule="exact"/>
        <w:ind w:right="0" w:left="6912"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AIP Plan Executive Summary Version 3.5 March 2020</w:t>
      </w:r>
    </w:p>
    <w:p>
      <w:pPr>
        <w:pageBreakBefore w:val="false"/>
        <w:spacing w:before="0" w:after="0" w:line="179"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w:t>
      </w:r>
    </w:p>
    <w:p>
      <w:pPr>
        <w:sectPr>
          <w:type w:val="nextPage"/>
          <w:pgSz w:w="11909" w:h="16838" w:orient="portrait"/>
          <w:pgMar w:bottom="302" w:top="1440" w:right="1432" w:left="1437" w:header="720" w:footer="720"/>
          <w:titlePg w:val="false"/>
          <w:textDirection w:val="lrTb"/>
        </w:sectPr>
      </w:pPr>
    </w:p>
    <w:p>
      <w:pPr>
        <w:pageBreakBefore w:val="false"/>
        <w:numPr>
          <w:ilvl w:val="0"/>
          <w:numId w:val="1"/>
        </w:numPr>
        <w:tabs>
          <w:tab w:val="clear" w:pos="360"/>
          <w:tab w:val="left" w:pos="360"/>
        </w:tabs>
        <w:spacing w:before="102" w:after="0" w:line="230" w:lineRule="exact"/>
        <w:ind w:right="72"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Publish Project information on Cordell’s CoreLogic portal to help identify suitable Australian industry entities and inform Australian industry suppliers of upcoming procurements and business opportunities.</w:t>
      </w:r>
    </w:p>
    <w:p>
      <w:pPr>
        <w:pageBreakBefore w:val="false"/>
        <w:numPr>
          <w:ilvl w:val="0"/>
          <w:numId w:val="1"/>
        </w:numPr>
        <w:tabs>
          <w:tab w:val="clear" w:pos="360"/>
          <w:tab w:val="left" w:pos="360"/>
        </w:tabs>
        <w:spacing w:before="150" w:after="0" w:line="230" w:lineRule="exact"/>
        <w:ind w:right="72"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project is subject to the Parliamentary Works Committee (PWC) approval process which will publish the project for public comment offering further exposure of the project to Australian Industry.</w:t>
      </w:r>
    </w:p>
    <w:p>
      <w:pPr>
        <w:pageBreakBefore w:val="false"/>
        <w:spacing w:before="239" w:after="0" w:line="232" w:lineRule="exact"/>
        <w:ind w:right="0" w:left="0" w:firstLine="0"/>
        <w:jc w:val="left"/>
        <w:textAlignment w:val="baseline"/>
        <w:rPr>
          <w:rFonts w:ascii="Arial" w:hAnsi="Arial" w:eastAsia="Arial"/>
          <w:b w:val="true"/>
          <w:color w:val="000000"/>
          <w:spacing w:val="-4"/>
          <w:w w:val="100"/>
          <w:sz w:val="21"/>
          <w:u w:val="single"/>
          <w:vertAlign w:val="baseline"/>
          <w:lang w:val="en-US"/>
        </w:rPr>
      </w:pPr>
      <w:r>
        <w:rPr>
          <w:rFonts w:ascii="Arial" w:hAnsi="Arial" w:eastAsia="Arial"/>
          <w:b w:val="true"/>
          <w:color w:val="000000"/>
          <w:spacing w:val="-4"/>
          <w:w w:val="100"/>
          <w:sz w:val="21"/>
          <w:u w:val="single"/>
          <w:vertAlign w:val="baseline"/>
          <w:lang w:val="en-US"/>
        </w:rPr>
        <w:t xml:space="preserve">4. Opportunities through all tiers of supply and in all stages of the project</w:t>
      </w:r>
    </w:p>
    <w:p>
      <w:pPr>
        <w:pageBreakBefore w:val="false"/>
        <w:numPr>
          <w:ilvl w:val="0"/>
          <w:numId w:val="1"/>
        </w:numPr>
        <w:tabs>
          <w:tab w:val="clear" w:pos="360"/>
          <w:tab w:val="left" w:pos="360"/>
        </w:tabs>
        <w:spacing w:before="115" w:after="0" w:line="250" w:lineRule="exact"/>
        <w:ind w:right="0" w:left="360"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Standards to be used on the project:</w:t>
      </w:r>
    </w:p>
    <w:p>
      <w:pPr>
        <w:pageBreakBefore w:val="false"/>
        <w:spacing w:before="121" w:after="0" w:line="230" w:lineRule="exact"/>
        <w:ind w:right="0" w:left="36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Project will be undertaken in accordance with all relevant Australian Standards, specifications and engineering codes, in addition to local and Commonwealth government planning guidelines, as required.</w:t>
      </w:r>
    </w:p>
    <w:p>
      <w:pPr>
        <w:pageBreakBefore w:val="false"/>
        <w:numPr>
          <w:ilvl w:val="0"/>
          <w:numId w:val="1"/>
        </w:numPr>
        <w:tabs>
          <w:tab w:val="clear" w:pos="360"/>
          <w:tab w:val="left" w:pos="360"/>
        </w:tabs>
        <w:spacing w:before="110" w:after="0" w:line="250" w:lineRule="exact"/>
        <w:ind w:right="0" w:left="360"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The process/criteria used to assess potential suppliers:</w:t>
      </w:r>
    </w:p>
    <w:p>
      <w:pPr>
        <w:pageBreakBefore w:val="false"/>
        <w:spacing w:before="117" w:after="0" w:line="230" w:lineRule="exact"/>
        <w:ind w:right="0" w:left="36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CSIRO’s procurement strategy for all procurements over $400k is via an open approach to the market, through the Austender portal, in accordance with the Commonwealth Procurement Rules (CPR’s). Tenderers are required to demonstrate their compliance with the scope of the tender and are assessed by a Tender Evaluation Committee through a rigorous process in accordance with CPR’s and CSIRO’s procurement policies.</w:t>
      </w:r>
    </w:p>
    <w:p>
      <w:pPr>
        <w:pageBreakBefore w:val="false"/>
        <w:numPr>
          <w:ilvl w:val="0"/>
          <w:numId w:val="1"/>
        </w:numPr>
        <w:tabs>
          <w:tab w:val="clear" w:pos="360"/>
          <w:tab w:val="left" w:pos="360"/>
        </w:tabs>
        <w:spacing w:before="129" w:after="0" w:line="250" w:lineRule="exact"/>
        <w:ind w:right="0" w:left="360" w:hanging="36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How the company will flow-down the AIP requirements to contractors and subcontractors:</w:t>
      </w:r>
    </w:p>
    <w:p>
      <w:pPr>
        <w:pageBreakBefore w:val="false"/>
        <w:spacing w:before="122" w:after="0" w:line="230" w:lineRule="exact"/>
        <w:ind w:right="216" w:left="36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CSIRO will include and implement standard contractual arrangements with suppliers as part of Head Contractor tender and contract documentation to provide Australian industry opportunities to participate. CSIRO will also work with the Head Contractor to develop systems to monitor and report on the extent of Australian Industry Participation.</w:t>
      </w:r>
    </w:p>
    <w:p>
      <w:pPr>
        <w:pageBreakBefore w:val="false"/>
        <w:spacing w:before="238" w:after="0" w:line="232" w:lineRule="exact"/>
        <w:ind w:right="0" w:left="0" w:firstLine="0"/>
        <w:jc w:val="left"/>
        <w:textAlignment w:val="baseline"/>
        <w:rPr>
          <w:rFonts w:ascii="Arial" w:hAnsi="Arial" w:eastAsia="Arial"/>
          <w:b w:val="true"/>
          <w:color w:val="000000"/>
          <w:spacing w:val="-4"/>
          <w:w w:val="100"/>
          <w:sz w:val="21"/>
          <w:u w:val="single"/>
          <w:vertAlign w:val="baseline"/>
          <w:lang w:val="en-US"/>
        </w:rPr>
      </w:pPr>
      <w:r>
        <w:rPr>
          <w:rFonts w:ascii="Arial" w:hAnsi="Arial" w:eastAsia="Arial"/>
          <w:b w:val="true"/>
          <w:color w:val="000000"/>
          <w:spacing w:val="-4"/>
          <w:w w:val="100"/>
          <w:sz w:val="21"/>
          <w:u w:val="single"/>
          <w:vertAlign w:val="baseline"/>
          <w:lang w:val="en-US"/>
        </w:rPr>
        <w:t xml:space="preserve">5. Opportunities for longer-term participation</w:t>
      </w:r>
    </w:p>
    <w:p>
      <w:pPr>
        <w:pageBreakBefore w:val="false"/>
        <w:numPr>
          <w:ilvl w:val="0"/>
          <w:numId w:val="1"/>
        </w:numPr>
        <w:tabs>
          <w:tab w:val="clear" w:pos="360"/>
          <w:tab w:val="left" w:pos="360"/>
        </w:tabs>
        <w:spacing w:before="362" w:after="0" w:line="230" w:lineRule="exact"/>
        <w:ind w:right="216"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CSIRO will provide feedback on performance to successful Australian suppliers engaged on the project and where appropriate, provide information on strategies and activities they may undertake to provide opportunities for future inclusion in global supply chains. High performing suppliers will also be provided with references.</w:t>
      </w:r>
    </w:p>
    <w:p>
      <w:pPr>
        <w:pageBreakBefore w:val="false"/>
        <w:numPr>
          <w:ilvl w:val="0"/>
          <w:numId w:val="1"/>
        </w:numPr>
        <w:tabs>
          <w:tab w:val="clear" w:pos="360"/>
          <w:tab w:val="left" w:pos="360"/>
        </w:tabs>
        <w:spacing w:before="130" w:after="0" w:line="230" w:lineRule="exact"/>
        <w:ind w:right="144"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Unsuccessful tenderers will be provided with feedback on the strengths and weaknesses of their bids and how to improve competitiveness in future procurements.</w:t>
      </w:r>
    </w:p>
    <w:p>
      <w:pPr>
        <w:pageBreakBefore w:val="false"/>
        <w:numPr>
          <w:ilvl w:val="0"/>
          <w:numId w:val="1"/>
        </w:numPr>
        <w:tabs>
          <w:tab w:val="clear" w:pos="360"/>
          <w:tab w:val="left" w:pos="360"/>
        </w:tabs>
        <w:spacing w:before="126" w:after="0" w:line="230" w:lineRule="exact"/>
        <w:ind w:right="216" w:left="360"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Discussions to take place with procurement managers to brief them on the capabilities and past achievements of Australian suppliers.</w:t>
      </w:r>
    </w:p>
    <w:p>
      <w:pPr>
        <w:pageBreakBefore w:val="false"/>
        <w:spacing w:before="469" w:after="0" w:line="232" w:lineRule="exact"/>
        <w:ind w:right="0" w:left="0" w:firstLine="0"/>
        <w:jc w:val="left"/>
        <w:textAlignment w:val="baseline"/>
        <w:rPr>
          <w:rFonts w:ascii="Arial" w:hAnsi="Arial" w:eastAsia="Arial"/>
          <w:b w:val="true"/>
          <w:color w:val="000000"/>
          <w:spacing w:val="-4"/>
          <w:w w:val="100"/>
          <w:sz w:val="21"/>
          <w:u w:val="single"/>
          <w:vertAlign w:val="baseline"/>
          <w:lang w:val="en-US"/>
        </w:rPr>
      </w:pPr>
      <w:r>
        <w:rPr>
          <w:rFonts w:ascii="Arial" w:hAnsi="Arial" w:eastAsia="Arial"/>
          <w:b w:val="true"/>
          <w:color w:val="000000"/>
          <w:spacing w:val="-4"/>
          <w:w w:val="100"/>
          <w:sz w:val="21"/>
          <w:u w:val="single"/>
          <w:vertAlign w:val="baseline"/>
          <w:lang w:val="en-US"/>
        </w:rPr>
        <w:t xml:space="preserve">6. Procedures and Resources </w:t>
      </w:r>
    </w:p>
    <w:p>
      <w:pPr>
        <w:pageBreakBefore w:val="false"/>
        <w:spacing w:before="122" w:after="0" w:line="230"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CSIRO will develop and implement standard contractual arrangements with suppliers to give Australian industry opportunities to participate. A requirement to establish reporting procedures to monitor the AIP Plan’s implementation and collect evidence will be included in the Head Contractor contract as well as any sub-contracts associated with the project. CSIRO will also work with the Head Contractor to develop systems to identify inappropriate action under the AIP Plan and to monitor/record the corrective action taken.</w:t>
      </w:r>
    </w:p>
    <w:p>
      <w:pPr>
        <w:pageBreakBefore w:val="false"/>
        <w:spacing w:before="2577" w:after="0" w:line="184" w:lineRule="exact"/>
        <w:ind w:right="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Department of Industry, Science, Energy and Resources</w:t>
      </w:r>
    </w:p>
    <w:p>
      <w:pPr>
        <w:pageBreakBefore w:val="false"/>
        <w:spacing w:before="2" w:after="0" w:line="179" w:lineRule="exact"/>
        <w:ind w:right="0" w:left="6912"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AIP Plan Executive Summary Version 3.5 March 2020</w:t>
      </w:r>
    </w:p>
    <w:p>
      <w:pPr>
        <w:pageBreakBefore w:val="false"/>
        <w:spacing w:before="0" w:after="0" w:line="179"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3</w:t>
      </w:r>
    </w:p>
    <w:sectPr>
      <w:type w:val="nextPage"/>
      <w:pgSz w:w="11909" w:h="16838" w:orient="portrait"/>
      <w:pgMar w:bottom="302" w:top="1360" w:right="1434" w:left="1435"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0"/>
        <w:vertAlign w:val="baseline"/>
        <w:lang w:val="en-US"/>
      </w:rPr>
    </w:lvl>
  </w:abstractNum>
  <w:abstractNum w:abstractNumId="2">
    <w:lvl w:ilvl="0">
      <w:start w:val="2"/>
      <w:numFmt w:val="decimal"/>
      <w:lvlText w:val="%1."/>
      <w:pPr>
        <w:tabs>
          <w:tab w:val="left" w:pos="216"/>
        </w:tabs>
      </w:pPr>
      <w:rPr>
        <w:rFonts w:ascii="Arial" w:hAnsi="Arial" w:eastAsia="Arial"/>
        <w:b w:val="true"/>
        <w:color w:val="000000"/>
        <w:spacing w:val="0"/>
        <w:w w:val="100"/>
        <w:sz w:val="20"/>
        <w:u w:val="single"/>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csiro.au"/><Relationship Id="dhId2" Type="http://schemas.openxmlformats.org/officeDocument/2006/relationships/hyperlink" TargetMode="External" Target="mailto:tony.cuzzillo@csiro.au"/><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AIP Plan Executive Summary Template</dc:title>
  <dc:creator>de Waal, Cathy</dc:creator>
</cp:coreProperties>
</file>