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8F" w:rsidRDefault="003B675F">
      <w:pPr>
        <w:spacing w:before="3" w:after="616"/>
        <w:ind w:right="19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3251835" cy="4908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83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38F" w:rsidRDefault="00EE138F">
      <w:pPr>
        <w:spacing w:before="3" w:after="616"/>
        <w:sectPr w:rsidR="00EE138F">
          <w:pgSz w:w="11904" w:h="16843"/>
          <w:pgMar w:top="2680" w:right="5727" w:bottom="1687" w:left="1037" w:header="720" w:footer="720" w:gutter="0"/>
          <w:cols w:space="720"/>
        </w:sectPr>
      </w:pPr>
    </w:p>
    <w:p w:rsidR="00EE138F" w:rsidRDefault="003B675F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:rsidR="00EE138F" w:rsidRDefault="003B675F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3380105</wp:posOffset>
                </wp:positionV>
                <wp:extent cx="64776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D3D6E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36895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266.15pt" to="553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" strokecolor="#d3d6e2" strokeweight="2.4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:rsidR="00EE138F" w:rsidRDefault="003B675F">
      <w:pPr>
        <w:spacing w:before="242" w:line="190" w:lineRule="exact"/>
        <w:textAlignment w:val="baseline"/>
        <w:rPr>
          <w:rFonts w:ascii="Arial" w:eastAsia="Arial" w:hAnsi="Arial"/>
          <w:b/>
          <w:color w:val="202B34"/>
          <w:spacing w:val="1"/>
          <w:sz w:val="17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4248785</wp:posOffset>
                </wp:positionV>
                <wp:extent cx="64776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5467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334.55pt" to="55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b/>
          <w:color w:val="202B34"/>
          <w:spacing w:val="1"/>
          <w:sz w:val="17"/>
        </w:rPr>
        <w:t xml:space="preserve">Company/organisation name: </w:t>
      </w:r>
      <w:r>
        <w:rPr>
          <w:rFonts w:ascii="Tahoma" w:eastAsia="Tahoma" w:hAnsi="Tahoma"/>
          <w:color w:val="202B34"/>
          <w:spacing w:val="1"/>
          <w:sz w:val="15"/>
        </w:rPr>
        <w:t>JAMES COOK UNIVERSITY</w:t>
      </w:r>
    </w:p>
    <w:p w:rsidR="00EE138F" w:rsidRDefault="003B675F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pacing w:val="1"/>
          <w:sz w:val="17"/>
        </w:rPr>
      </w:pPr>
      <w:r>
        <w:rPr>
          <w:rFonts w:ascii="Arial" w:eastAsia="Arial" w:hAnsi="Arial"/>
          <w:b/>
          <w:color w:val="202B34"/>
          <w:spacing w:val="1"/>
          <w:sz w:val="17"/>
        </w:rPr>
        <w:t xml:space="preserve">Project name: </w:t>
      </w:r>
      <w:r>
        <w:rPr>
          <w:rFonts w:ascii="Tahoma" w:eastAsia="Tahoma" w:hAnsi="Tahoma"/>
          <w:color w:val="202B34"/>
          <w:spacing w:val="1"/>
          <w:sz w:val="15"/>
        </w:rPr>
        <w:t>Cairns Tropical Enterprise Centre (CTEC)</w:t>
      </w:r>
    </w:p>
    <w:p w:rsidR="00EE138F" w:rsidRDefault="003B675F">
      <w:pPr>
        <w:spacing w:line="218" w:lineRule="exact"/>
        <w:ind w:right="144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Description of the project: </w:t>
      </w:r>
      <w:r>
        <w:rPr>
          <w:rFonts w:ascii="Tahoma" w:eastAsia="Tahoma" w:hAnsi="Tahoma"/>
          <w:color w:val="202B34"/>
          <w:sz w:val="15"/>
        </w:rPr>
        <w:t>The design, development, construction and fit-out of CTEC including the external environment to locate education, training, research and innovation activities in a technology-led facility, creating a multi-disciplinary centre for applied technology and ent</w:t>
      </w:r>
      <w:r>
        <w:rPr>
          <w:rFonts w:ascii="Tahoma" w:eastAsia="Tahoma" w:hAnsi="Tahoma"/>
          <w:color w:val="202B34"/>
          <w:sz w:val="15"/>
        </w:rPr>
        <w:t>erprise, with a focus on health, and include elements engaging with high schools in the Cairns region. Proximity to the Cairns Hospital will drive health-services collaboration.</w:t>
      </w:r>
    </w:p>
    <w:p w:rsidR="00EE138F" w:rsidRDefault="003B675F">
      <w:pPr>
        <w:spacing w:before="217" w:line="221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JCU will procure a principal construction contractor to deliver the project un</w:t>
      </w:r>
      <w:r>
        <w:rPr>
          <w:rFonts w:ascii="Tahoma" w:eastAsia="Tahoma" w:hAnsi="Tahoma"/>
          <w:color w:val="202B34"/>
          <w:sz w:val="15"/>
        </w:rPr>
        <w:t>der a traditional fully documented lump sum contract. Appointment of the principal contractor will be via a 2 stage procurement strategy, stage 1 will be an expression of interest (EOI) with up to 5 respondents shortlisted to progress to a formal request f</w:t>
      </w:r>
      <w:r>
        <w:rPr>
          <w:rFonts w:ascii="Tahoma" w:eastAsia="Tahoma" w:hAnsi="Tahoma"/>
          <w:color w:val="202B34"/>
          <w:sz w:val="15"/>
        </w:rPr>
        <w:t>or tender stage. Information sessions for suppliers will be held in Cairns prior to advertising the EOI. Subcontractors will be procured by the principal contractor.</w:t>
      </w:r>
    </w:p>
    <w:p w:rsidR="00EE138F" w:rsidRDefault="003B675F">
      <w:pPr>
        <w:spacing w:line="221" w:lineRule="exact"/>
        <w:ind w:righ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Expressions of interest will be called in February 2022 with the construction contract pro</w:t>
      </w:r>
      <w:r>
        <w:rPr>
          <w:rFonts w:ascii="Tahoma" w:eastAsia="Tahoma" w:hAnsi="Tahoma"/>
          <w:color w:val="202B34"/>
          <w:sz w:val="15"/>
        </w:rPr>
        <w:t>posed to be awarded in June 2022. Construction is expected to commence in July 2022 with practical completion expected in December 2023.</w:t>
      </w:r>
    </w:p>
    <w:p w:rsidR="00EE138F" w:rsidRDefault="003B675F">
      <w:pPr>
        <w:spacing w:before="473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5"/>
          <w:sz w:val="15"/>
        </w:rPr>
        <w:t>$60,000,000 AUD</w:t>
      </w:r>
    </w:p>
    <w:p w:rsidR="00EE138F" w:rsidRDefault="003B675F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Estimated total value of key goods and servic</w:t>
      </w:r>
      <w:r>
        <w:rPr>
          <w:rFonts w:ascii="Arial" w:eastAsia="Arial" w:hAnsi="Arial"/>
          <w:b/>
          <w:color w:val="202B34"/>
          <w:spacing w:val="-5"/>
          <w:sz w:val="17"/>
        </w:rPr>
        <w:t xml:space="preserve">es: </w:t>
      </w:r>
      <w:r>
        <w:rPr>
          <w:rFonts w:ascii="Tahoma" w:eastAsia="Tahoma" w:hAnsi="Tahoma"/>
          <w:color w:val="202B34"/>
          <w:spacing w:val="-5"/>
          <w:sz w:val="15"/>
        </w:rPr>
        <w:t>$46,400,000 AUD</w:t>
      </w:r>
    </w:p>
    <w:p w:rsidR="00EE138F" w:rsidRDefault="003B675F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z w:val="17"/>
        </w:rPr>
      </w:pPr>
      <w:r>
        <w:rPr>
          <w:rFonts w:ascii="Arial" w:eastAsia="Arial" w:hAnsi="Arial"/>
          <w:b/>
          <w:color w:val="202B34"/>
          <w:sz w:val="17"/>
        </w:rPr>
        <w:t xml:space="preserve">Project location: </w:t>
      </w:r>
      <w:r>
        <w:rPr>
          <w:rFonts w:ascii="Tahoma" w:eastAsia="Tahoma" w:hAnsi="Tahoma"/>
          <w:color w:val="202B34"/>
          <w:sz w:val="15"/>
        </w:rPr>
        <w:t>Cairns - Land bordered by Sheridan St, Grove St, Digger St &amp; Charles St</w:t>
      </w:r>
    </w:p>
    <w:p w:rsidR="00EE138F" w:rsidRDefault="003B675F">
      <w:pPr>
        <w:spacing w:before="31" w:line="190" w:lineRule="exact"/>
        <w:textAlignment w:val="baseline"/>
        <w:rPr>
          <w:rFonts w:ascii="Arial" w:eastAsia="Arial" w:hAnsi="Arial"/>
          <w:b/>
          <w:color w:val="202B34"/>
          <w:spacing w:val="-3"/>
          <w:sz w:val="17"/>
        </w:rPr>
      </w:pPr>
      <w:r>
        <w:rPr>
          <w:rFonts w:ascii="Arial" w:eastAsia="Arial" w:hAnsi="Arial"/>
          <w:b/>
          <w:color w:val="202B34"/>
          <w:spacing w:val="-3"/>
          <w:sz w:val="17"/>
        </w:rPr>
        <w:t xml:space="preserve">Link to project information: </w:t>
      </w:r>
      <w:r>
        <w:rPr>
          <w:rFonts w:ascii="Tahoma" w:eastAsia="Tahoma" w:hAnsi="Tahoma"/>
          <w:color w:val="202B34"/>
          <w:spacing w:val="-3"/>
          <w:sz w:val="15"/>
        </w:rPr>
        <w:t>https://www.jcu.edu.au/</w:t>
      </w:r>
    </w:p>
    <w:p w:rsidR="00EE138F" w:rsidRDefault="003B675F">
      <w:pPr>
        <w:spacing w:before="26" w:line="190" w:lineRule="exact"/>
        <w:textAlignment w:val="baseline"/>
        <w:rPr>
          <w:rFonts w:ascii="Arial" w:eastAsia="Arial" w:hAnsi="Arial"/>
          <w:b/>
          <w:color w:val="202B34"/>
          <w:spacing w:val="-5"/>
          <w:sz w:val="17"/>
        </w:rPr>
      </w:pPr>
      <w:r>
        <w:rPr>
          <w:rFonts w:ascii="Arial" w:eastAsia="Arial" w:hAnsi="Arial"/>
          <w:b/>
          <w:color w:val="202B34"/>
          <w:spacing w:val="-5"/>
          <w:sz w:val="17"/>
        </w:rPr>
        <w:t>Contact person for procurement information:</w:t>
      </w:r>
    </w:p>
    <w:p w:rsidR="00EE138F" w:rsidRDefault="003B675F">
      <w:pPr>
        <w:spacing w:before="30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1"/>
          <w:sz w:val="17"/>
        </w:rPr>
      </w:pPr>
      <w:r>
        <w:rPr>
          <w:rFonts w:ascii="Arial" w:eastAsia="Arial" w:hAnsi="Arial"/>
          <w:b/>
          <w:color w:val="202B34"/>
          <w:spacing w:val="1"/>
          <w:sz w:val="17"/>
        </w:rPr>
        <w:t xml:space="preserve">Name: </w:t>
      </w:r>
      <w:r>
        <w:rPr>
          <w:rFonts w:ascii="Tahoma" w:eastAsia="Tahoma" w:hAnsi="Tahoma"/>
          <w:color w:val="202B34"/>
          <w:spacing w:val="1"/>
          <w:sz w:val="15"/>
        </w:rPr>
        <w:t>Damian Crocker</w:t>
      </w:r>
    </w:p>
    <w:p w:rsidR="00EE138F" w:rsidRDefault="003B675F">
      <w:pPr>
        <w:spacing w:before="31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7"/>
        </w:rPr>
      </w:pPr>
      <w:r>
        <w:rPr>
          <w:rFonts w:ascii="Arial" w:eastAsia="Arial" w:hAnsi="Arial"/>
          <w:b/>
          <w:color w:val="202B34"/>
          <w:spacing w:val="-4"/>
          <w:sz w:val="17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5"/>
        </w:rPr>
        <w:t>0747814663</w:t>
      </w:r>
    </w:p>
    <w:p w:rsidR="00EE138F" w:rsidRDefault="003B675F">
      <w:pPr>
        <w:spacing w:before="31" w:after="652" w:line="190" w:lineRule="exact"/>
        <w:ind w:left="648"/>
        <w:textAlignment w:val="baseline"/>
        <w:rPr>
          <w:rFonts w:ascii="Arial" w:eastAsia="Arial" w:hAnsi="Arial"/>
          <w:b/>
          <w:color w:val="202B34"/>
          <w:spacing w:val="-1"/>
          <w:sz w:val="17"/>
        </w:rPr>
      </w:pPr>
      <w:r>
        <w:rPr>
          <w:rFonts w:ascii="Arial" w:eastAsia="Arial" w:hAnsi="Arial"/>
          <w:b/>
          <w:color w:val="202B34"/>
          <w:spacing w:val="-1"/>
          <w:sz w:val="17"/>
        </w:rPr>
        <w:t xml:space="preserve">Email address: </w:t>
      </w:r>
      <w:hyperlink r:id="rId6">
        <w:r>
          <w:rPr>
            <w:rFonts w:ascii="Tahoma" w:eastAsia="Tahoma" w:hAnsi="Tahoma"/>
            <w:color w:val="0000FF"/>
            <w:spacing w:val="-1"/>
            <w:sz w:val="15"/>
            <w:u w:val="single"/>
          </w:rPr>
          <w:t>damian.crocker@jcu.edu.au</w:t>
        </w:r>
      </w:hyperlink>
      <w:r>
        <w:rPr>
          <w:rFonts w:ascii="Tahoma" w:eastAsia="Tahoma" w:hAnsi="Tahoma"/>
          <w:color w:val="202B34"/>
          <w:spacing w:val="-1"/>
          <w:sz w:val="15"/>
        </w:rPr>
        <w:t xml:space="preserve"> </w:t>
      </w:r>
    </w:p>
    <w:p w:rsidR="00EE138F" w:rsidRDefault="003B675F">
      <w:pPr>
        <w:spacing w:after="153" w:line="446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:rsidR="00EE138F" w:rsidRDefault="003B675F">
      <w:pPr>
        <w:spacing w:before="185" w:line="2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8400415</wp:posOffset>
                </wp:positionV>
                <wp:extent cx="647763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30DE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5pt,661.45pt" to="553pt,6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EE138F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207" w:after="214" w:line="221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pacing w:val="-7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pacing w:val="-7"/>
                <w:sz w:val="17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after="176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after="176" w:line="221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7"/>
              </w:rPr>
            </w:pPr>
            <w:r>
              <w:rPr>
                <w:rFonts w:ascii="Arial" w:eastAsia="Arial" w:hAnsi="Arial"/>
                <w:b/>
                <w:color w:val="202B34"/>
                <w:sz w:val="17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7"/>
              </w:rPr>
              <w:br/>
              <w:t>suppliers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34" w:line="189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Site preparation and establishment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1" w:after="198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1" w:after="198" w:line="187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</w:tbl>
    <w:p w:rsidR="00EE138F" w:rsidRDefault="00EE138F">
      <w:pPr>
        <w:sectPr w:rsidR="00EE138F">
          <w:type w:val="continuous"/>
          <w:pgSz w:w="11904" w:h="16843"/>
          <w:pgMar w:top="2680" w:right="845" w:bottom="1687" w:left="859" w:header="720" w:footer="720" w:gutter="0"/>
          <w:cols w:space="720"/>
        </w:sectPr>
      </w:pPr>
    </w:p>
    <w:p w:rsidR="00EE138F" w:rsidRDefault="00EE138F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0"/>
        <w:gridCol w:w="1478"/>
        <w:gridCol w:w="1498"/>
      </w:tblGrid>
      <w:tr w:rsidR="00EE138F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51" w:after="206" w:line="189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Building structural works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50" w:after="30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50" w:after="30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24" w:line="190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Roofing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82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82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20" w:line="189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Interior works, plastering, ceilings, tiling, interior fit out etc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83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83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20" w:line="189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Mechanical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7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7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15" w:line="189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External works, includes landscaping, signage, footpaths, roads etc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78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78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No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29" w:line="190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Furniture fittings and equipment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8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6" w:after="18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  <w:tr w:rsidR="00EE138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E138F" w:rsidRDefault="003B675F">
            <w:pPr>
              <w:spacing w:before="103" w:after="124" w:line="189" w:lineRule="exact"/>
              <w:ind w:left="111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ICT, includes, computer hardware, software and audio visual services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8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E138F" w:rsidRDefault="003B675F">
            <w:pPr>
              <w:spacing w:before="40" w:after="187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5"/>
              </w:rPr>
            </w:pPr>
            <w:r>
              <w:rPr>
                <w:rFonts w:ascii="Tahoma" w:eastAsia="Tahoma" w:hAnsi="Tahoma"/>
                <w:color w:val="202B34"/>
                <w:sz w:val="15"/>
              </w:rPr>
              <w:t>Yes</w:t>
            </w:r>
          </w:p>
        </w:tc>
      </w:tr>
    </w:tbl>
    <w:p w:rsidR="00EE138F" w:rsidRDefault="00EE138F">
      <w:pPr>
        <w:spacing w:after="310" w:line="20" w:lineRule="exact"/>
      </w:pPr>
    </w:p>
    <w:p w:rsidR="00EE138F" w:rsidRDefault="003B675F">
      <w:pPr>
        <w:spacing w:line="189" w:lineRule="exact"/>
        <w:ind w:left="72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* An Australian supplier means an entity that has an ABN or an ACN</w:t>
      </w:r>
    </w:p>
    <w:p w:rsidR="00EE138F" w:rsidRDefault="003B675F">
      <w:pPr>
        <w:spacing w:before="206" w:line="216" w:lineRule="exact"/>
        <w:ind w:left="72" w:right="57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Disclaimer: The information provided in the table above is based on an initial assessment by the company. Any questions or issues should be raised with the project contact.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251" w:after="662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Australian standards and certifications will be required for the key goods and serv</w:t>
      </w:r>
      <w:r>
        <w:rPr>
          <w:rFonts w:ascii="Tahoma" w:eastAsia="Tahoma" w:hAnsi="Tahoma"/>
          <w:color w:val="202B34"/>
          <w:sz w:val="15"/>
        </w:rPr>
        <w:t>ices in this project.</w:t>
      </w:r>
    </w:p>
    <w:p w:rsidR="00EE138F" w:rsidRDefault="003B675F">
      <w:pPr>
        <w:spacing w:after="158" w:line="446" w:lineRule="exact"/>
        <w:ind w:left="288"/>
        <w:textAlignment w:val="baseline"/>
        <w:rPr>
          <w:rFonts w:ascii="Tahoma" w:eastAsia="Tahoma" w:hAnsi="Tahoma"/>
          <w:color w:val="202B34"/>
          <w:spacing w:val="17"/>
          <w:w w:val="95"/>
          <w:sz w:val="36"/>
        </w:rPr>
      </w:pPr>
      <w:r>
        <w:rPr>
          <w:rFonts w:ascii="Tahoma" w:eastAsia="Tahoma" w:hAnsi="Tahoma"/>
          <w:color w:val="202B34"/>
          <w:spacing w:val="17"/>
          <w:w w:val="95"/>
          <w:sz w:val="36"/>
        </w:rPr>
        <w:t>3. Communicating and providing opportunities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211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5977255</wp:posOffset>
                </wp:positionV>
                <wp:extent cx="64776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9346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470.65pt" to="552.65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+vIAIAAEIEAAAOAAAAZHJzL2Uyb0RvYy54bWysU02P2jAQvVfqf7B8hyQQPjYirFoCvdAW&#10;abc/wNgOserYlm0IqOp/79gBtLS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pacing w:val="1"/>
          <w:sz w:val="15"/>
        </w:rPr>
        <w:t>Project website OR Project supplier portal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Liaison with industry associations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Public announcements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1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Workshops/industry briefings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Promote opportunities to Australian industry in the early stages of the project, including information on how to prequalify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Make tender documents available to all possible suppliers at the same time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107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requirement in tender documents that successful t</w:t>
      </w:r>
      <w:r>
        <w:rPr>
          <w:rFonts w:ascii="Tahoma" w:eastAsia="Tahoma" w:hAnsi="Tahoma"/>
          <w:color w:val="202B34"/>
          <w:sz w:val="15"/>
        </w:rPr>
        <w:t>enderers comply with AIP plan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Include contractual arrangements with suppliers to outline AIP arrangements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5"/>
        </w:rPr>
      </w:pPr>
      <w:r>
        <w:rPr>
          <w:rFonts w:ascii="Tahoma" w:eastAsia="Tahoma" w:hAnsi="Tahoma"/>
          <w:color w:val="202B34"/>
          <w:spacing w:val="2"/>
          <w:sz w:val="15"/>
        </w:rPr>
        <w:t>All tenders from Australian and overseas suppliers will be assessed on the same basis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after="547" w:line="191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The organisation will ensure all AIP plan obligations will flow </w:t>
      </w:r>
      <w:r>
        <w:rPr>
          <w:rFonts w:ascii="Tahoma" w:eastAsia="Tahoma" w:hAnsi="Tahoma"/>
          <w:color w:val="202B34"/>
          <w:sz w:val="15"/>
        </w:rPr>
        <w:t>down to contractors and subcontractors</w:t>
      </w:r>
    </w:p>
    <w:p w:rsidR="00EE138F" w:rsidRDefault="003B675F">
      <w:pPr>
        <w:spacing w:after="158" w:line="447" w:lineRule="exact"/>
        <w:ind w:left="288"/>
        <w:textAlignment w:val="baseline"/>
        <w:rPr>
          <w:rFonts w:ascii="Tahoma" w:eastAsia="Tahoma" w:hAnsi="Tahoma"/>
          <w:color w:val="202B34"/>
          <w:spacing w:val="11"/>
          <w:w w:val="95"/>
          <w:sz w:val="36"/>
        </w:rPr>
      </w:pPr>
      <w:r>
        <w:rPr>
          <w:rFonts w:ascii="Tahoma" w:eastAsia="Tahoma" w:hAnsi="Tahoma"/>
          <w:color w:val="202B34"/>
          <w:spacing w:val="11"/>
          <w:w w:val="95"/>
          <w:sz w:val="36"/>
        </w:rPr>
        <w:t>4. Facilitating future opportunities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182" w:line="220" w:lineRule="exact"/>
        <w:ind w:left="504" w:right="216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8592185</wp:posOffset>
                </wp:positionV>
                <wp:extent cx="64776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56AB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676.55pt" to="552.65pt,6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Provide advice to project suppliers on strategies and activities to undertake to be considered for inclusion in domestic and international supply chains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4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Support and assist project suppliers to adopt specific standards and accreditations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504" w:hanging="216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Transfer product and process technology, and organisational know-how, to project suppliers</w:t>
      </w:r>
    </w:p>
    <w:p w:rsidR="00EE138F" w:rsidRDefault="00EE138F">
      <w:pPr>
        <w:sectPr w:rsidR="00EE138F">
          <w:pgSz w:w="11904" w:h="16843"/>
          <w:pgMar w:top="3400" w:right="852" w:bottom="1727" w:left="852" w:header="720" w:footer="720" w:gutter="0"/>
          <w:cols w:space="720"/>
        </w:sectPr>
      </w:pP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110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lastRenderedPageBreak/>
        <w:t>Accredit suppliers to work in other regions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 xml:space="preserve">Recommend suppliers to </w:t>
      </w:r>
      <w:r>
        <w:rPr>
          <w:rFonts w:ascii="Tahoma" w:eastAsia="Tahoma" w:hAnsi="Tahoma"/>
          <w:color w:val="202B34"/>
          <w:spacing w:val="1"/>
          <w:sz w:val="15"/>
        </w:rPr>
        <w:t>appropriate government programmes for advice and support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pacing w:val="1"/>
          <w:sz w:val="15"/>
        </w:rPr>
      </w:pPr>
      <w:r>
        <w:rPr>
          <w:rFonts w:ascii="Tahoma" w:eastAsia="Tahoma" w:hAnsi="Tahoma"/>
          <w:color w:val="202B34"/>
          <w:spacing w:val="1"/>
          <w:sz w:val="15"/>
        </w:rPr>
        <w:t>Provide references for high performing suppliers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Recommend training to suppliers to assist in integrating into global supply chains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112" w:after="53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Provide unsuccessful tenderers with appropriate feedback to encourage future performance</w:t>
      </w:r>
    </w:p>
    <w:p w:rsidR="00EE138F" w:rsidRDefault="003B675F">
      <w:pPr>
        <w:spacing w:after="163" w:line="446" w:lineRule="exact"/>
        <w:ind w:left="288"/>
        <w:textAlignment w:val="baseline"/>
        <w:rPr>
          <w:rFonts w:ascii="Tahoma" w:eastAsia="Tahoma" w:hAnsi="Tahoma"/>
          <w:color w:val="202B34"/>
          <w:spacing w:val="-1"/>
          <w:w w:val="105"/>
          <w:sz w:val="36"/>
        </w:rPr>
      </w:pPr>
      <w:r>
        <w:rPr>
          <w:rFonts w:ascii="Tahoma" w:eastAsia="Tahoma" w:hAnsi="Tahoma"/>
          <w:color w:val="202B34"/>
          <w:spacing w:val="-1"/>
          <w:w w:val="105"/>
          <w:sz w:val="36"/>
        </w:rPr>
        <w:t>5. Implementation resources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216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3218815</wp:posOffset>
                </wp:positionV>
                <wp:extent cx="64776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6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202B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1796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253.45pt" to="552.65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" strokecolor="#202b34" strokeweight="1.2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color w:val="202B34"/>
          <w:sz w:val="15"/>
        </w:rPr>
        <w:t>The organisation will record and/or retain evidence to demonstrate implementation of the approved AIP plan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 xml:space="preserve">Develop and implement standard </w:t>
      </w:r>
      <w:r>
        <w:rPr>
          <w:rFonts w:ascii="Tahoma" w:eastAsia="Tahoma" w:hAnsi="Tahoma"/>
          <w:color w:val="202B34"/>
          <w:sz w:val="15"/>
        </w:rPr>
        <w:t>contractual arrangements with suppliers to give Australian industry opportunities to participate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93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monitor and report on the extent of Australian industry participation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107" w:line="191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inappropriate action under the AIP plan an</w:t>
      </w:r>
      <w:r>
        <w:rPr>
          <w:rFonts w:ascii="Tahoma" w:eastAsia="Tahoma" w:hAnsi="Tahoma"/>
          <w:color w:val="202B34"/>
          <w:sz w:val="15"/>
        </w:rPr>
        <w:t>d to monitor/record the corrective action taken</w:t>
      </w:r>
    </w:p>
    <w:p w:rsidR="00EE138F" w:rsidRDefault="003B675F">
      <w:pPr>
        <w:numPr>
          <w:ilvl w:val="0"/>
          <w:numId w:val="1"/>
        </w:numPr>
        <w:tabs>
          <w:tab w:val="clear" w:pos="216"/>
          <w:tab w:val="left" w:pos="504"/>
        </w:tabs>
        <w:spacing w:before="88" w:line="190" w:lineRule="exact"/>
        <w:ind w:left="288"/>
        <w:textAlignment w:val="baseline"/>
        <w:rPr>
          <w:rFonts w:ascii="Tahoma" w:eastAsia="Tahoma" w:hAnsi="Tahoma"/>
          <w:color w:val="202B34"/>
          <w:sz w:val="15"/>
        </w:rPr>
      </w:pPr>
      <w:r>
        <w:rPr>
          <w:rFonts w:ascii="Tahoma" w:eastAsia="Tahoma" w:hAnsi="Tahoma"/>
          <w:color w:val="202B34"/>
          <w:sz w:val="15"/>
        </w:rPr>
        <w:t>Develop systems to identify and report any variations in AIP plan activities</w:t>
      </w:r>
    </w:p>
    <w:sectPr w:rsidR="00EE138F">
      <w:pgSz w:w="11904" w:h="16843"/>
      <w:pgMar w:top="2460" w:right="852" w:bottom="982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528C2"/>
    <w:multiLevelType w:val="multilevel"/>
    <w:tmpl w:val="C59A4D7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8F"/>
    <w:rsid w:val="003B675F"/>
    <w:rsid w:val="00E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22517D7-E567-4B06-82AC-38E7680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an.crocker@jcu.edu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þÿ</vt:lpstr>
    </vt:vector>
  </TitlesOfParts>
  <Company>Department of Industry, Innovation and Science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creator>Rossi, Jacob</dc:creator>
  <cp:lastModifiedBy>Rossi, Jacob</cp:lastModifiedBy>
  <cp:revision>2</cp:revision>
  <dcterms:created xsi:type="dcterms:W3CDTF">2022-01-24T01:34:00Z</dcterms:created>
  <dcterms:modified xsi:type="dcterms:W3CDTF">2022-01-24T01:34:00Z</dcterms:modified>
</cp:coreProperties>
</file>