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18702" w14:textId="77777777" w:rsidR="00E45719" w:rsidRDefault="00E45719" w:rsidP="00E45719">
      <w:pPr>
        <w:pStyle w:val="Heading1"/>
      </w:pPr>
      <w:r>
        <w:t>Australian Industry Participation (AIP) Plan Executive Summary</w:t>
      </w:r>
    </w:p>
    <w:p w14:paraId="10552249" w14:textId="77777777" w:rsidR="00E45719" w:rsidRDefault="00E45719" w:rsidP="00E45719">
      <w:pPr>
        <w:pStyle w:val="Heading2"/>
      </w:pPr>
      <w:r>
        <w:t>1. General Project Details</w:t>
      </w:r>
    </w:p>
    <w:p w14:paraId="2D10F3BB" w14:textId="77777777"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0B0191">
            <w:t>Pilbara Minerals Limited</w:t>
          </w:r>
          <w:r w:rsidR="00151F87">
            <w:t xml:space="preserve"> (</w:t>
          </w:r>
          <w:proofErr w:type="gramStart"/>
          <w:r w:rsidR="00151F87">
            <w:t>ASX:PLS</w:t>
          </w:r>
          <w:proofErr w:type="gramEnd"/>
          <w:r w:rsidR="00151F87">
            <w:t>)</w:t>
          </w:r>
        </w:sdtContent>
      </w:sdt>
    </w:p>
    <w:p w14:paraId="7E632306" w14:textId="751977C5" w:rsidR="00E45719" w:rsidRDefault="00E45719" w:rsidP="00E45719">
      <w:pPr>
        <w:rPr>
          <w:rStyle w:val="Strong"/>
        </w:rPr>
      </w:pPr>
      <w:r>
        <w:rPr>
          <w:rStyle w:val="Strong"/>
        </w:rPr>
        <w:t>Description of the project:</w:t>
      </w:r>
      <w:r w:rsidRPr="00E45719">
        <w:t xml:space="preserve"> </w:t>
      </w:r>
      <w:r w:rsidR="000B0191">
        <w:br/>
      </w:r>
      <w:sdt>
        <w:sdtPr>
          <w:id w:val="781539936"/>
          <w:placeholder>
            <w:docPart w:val="37E3051ACA004B479418465069F77C1D"/>
          </w:placeholder>
        </w:sdtPr>
        <w:sdtEndPr/>
        <w:sdtContent>
          <w:r w:rsidR="000B0191">
            <w:t xml:space="preserve">The </w:t>
          </w:r>
          <w:proofErr w:type="spellStart"/>
          <w:r w:rsidR="000B0191">
            <w:t>Pilgangoora</w:t>
          </w:r>
          <w:proofErr w:type="spellEnd"/>
          <w:r w:rsidR="000B0191">
            <w:t xml:space="preserve"> Lithium-Tantalum Project (2Mtpa) (</w:t>
          </w:r>
          <w:r w:rsidR="000B0191">
            <w:rPr>
              <w:b/>
            </w:rPr>
            <w:t>Project</w:t>
          </w:r>
          <w:r w:rsidR="000B0191">
            <w:t>) is 100%-owned and will be developed by Pilbara Minerals Limited (</w:t>
          </w:r>
          <w:r w:rsidR="000B0191">
            <w:rPr>
              <w:b/>
            </w:rPr>
            <w:t>PLS</w:t>
          </w:r>
          <w:r w:rsidR="000B0191">
            <w:t xml:space="preserve">). The </w:t>
          </w:r>
          <w:proofErr w:type="spellStart"/>
          <w:r w:rsidR="000B0191">
            <w:t>Pilgangoora</w:t>
          </w:r>
          <w:proofErr w:type="spellEnd"/>
          <w:r w:rsidR="000B0191">
            <w:t xml:space="preserve"> pegmatite deposit is the second largest hard rock lithium deposit in the world. The Project is one of the world’s most important new lithium development projects and will become a key participant in the rapidly growing global supply chain for the lithium-ion battery industry. </w:t>
          </w:r>
          <w:r w:rsidR="000B0191">
            <w:br/>
          </w:r>
          <w:r w:rsidR="000B0191">
            <w:br/>
            <w:t>The Definitive Feasibility Study (</w:t>
          </w:r>
          <w:r w:rsidR="000B0191">
            <w:rPr>
              <w:b/>
            </w:rPr>
            <w:t>DFS</w:t>
          </w:r>
          <w:r w:rsidR="000B0191">
            <w:t xml:space="preserve">) completed in September 2016 demonstrated the technical and financial viability of the Project as a 2Mtpa development. Drilling results subsequent to completion of the DFS now underpin a 40-year mine life based on the 2Mtpa operation. </w:t>
          </w:r>
          <w:r w:rsidR="009C0453" w:rsidRPr="009C0453">
            <w:t xml:space="preserve">The Project is on an aggressive delivery program and PLS is currently targeting commissioning of the plant and associated infrastructure during Q2 of 2018. </w:t>
          </w:r>
          <w:r w:rsidR="00B96882">
            <w:t xml:space="preserve">On 27 June 2017, the Clean Energy Finance Corporation confirmed an investment of USD$15 million (approximately AUD$20 million) in a Nordic Private Placement senior secured bond issuance to finance development of the Project. </w:t>
          </w:r>
          <w:r w:rsidR="009C0453" w:rsidRPr="009C0453">
            <w:t xml:space="preserve"> </w:t>
          </w:r>
          <w:r w:rsidR="004B0065">
            <w:br/>
          </w:r>
          <w:r w:rsidR="004B0065">
            <w:br/>
          </w:r>
          <w:r w:rsidR="009C0453" w:rsidRPr="009C0453">
            <w:t>Procurement for the Project commenced after completion of the DFS and is scheduled to be completed also during Q2 of 2018, at which time mining operations and haulage are scheduled to commence.</w:t>
          </w:r>
          <w:r w:rsidR="004B0065">
            <w:t xml:space="preserve"> </w:t>
          </w:r>
          <w:r w:rsidR="009C0453">
            <w:t>The goods and services that have already been procured for the Project include those in respect of long-lead equipment items, concrete batching plant, site-wide bulk earthworks, site accommodation and facilities, camp services, process plant, and road upgrades.</w:t>
          </w:r>
          <w:r w:rsidR="009C0453">
            <w:br/>
          </w:r>
          <w:r w:rsidR="009C0453">
            <w:br/>
            <w:t>RCR Resources Pty Ltd (</w:t>
          </w:r>
          <w:r w:rsidR="004B0065">
            <w:rPr>
              <w:b/>
            </w:rPr>
            <w:t>EPC Contractor</w:t>
          </w:r>
          <w:r w:rsidR="009C0453">
            <w:t>) was awarded the Engineering</w:t>
          </w:r>
          <w:r w:rsidR="004B0065">
            <w:t>, Procurement and Construction</w:t>
          </w:r>
          <w:r w:rsidR="009C0453">
            <w:t xml:space="preserve"> contract for the Project’s process plant and carries the responsibility for procurement of goods and services in respect of the Project’s process plant</w:t>
          </w:r>
          <w:r w:rsidR="00281732">
            <w:t xml:space="preserve"> (Stage 1 awarded </w:t>
          </w:r>
          <w:r w:rsidR="0098513A">
            <w:t>on 18</w:t>
          </w:r>
          <w:r w:rsidR="00281732">
            <w:t xml:space="preserve"> January 2017 and Stage 2 awarded in July 2017)</w:t>
          </w:r>
          <w:r w:rsidR="009C0453">
            <w:t xml:space="preserve">. Contract Power </w:t>
          </w:r>
          <w:r w:rsidR="001636CE">
            <w:t>Group</w:t>
          </w:r>
          <w:r w:rsidR="009C0453">
            <w:t xml:space="preserve"> (</w:t>
          </w:r>
          <w:r w:rsidR="009C0453">
            <w:rPr>
              <w:b/>
            </w:rPr>
            <w:t>Power Station Contractor</w:t>
          </w:r>
          <w:r w:rsidR="009C0453">
            <w:t>) was awarded the power station build, own, operate contract for the Project</w:t>
          </w:r>
          <w:r w:rsidR="0098513A">
            <w:t xml:space="preserve"> o</w:t>
          </w:r>
          <w:r w:rsidR="00281732">
            <w:t>n</w:t>
          </w:r>
          <w:r w:rsidR="0098513A">
            <w:t xml:space="preserve"> 8</w:t>
          </w:r>
          <w:r w:rsidR="00281732">
            <w:t xml:space="preserve"> September 2017</w:t>
          </w:r>
          <w:r w:rsidR="009C0453">
            <w:t xml:space="preserve"> and carries the responsibility for procurement of goods and services in respect of the Project’s power station. </w:t>
          </w:r>
          <w:r w:rsidR="004B0065">
            <w:t xml:space="preserve">Both the EPC </w:t>
          </w:r>
          <w:r w:rsidR="009C0453" w:rsidRPr="009C0453">
            <w:t>and Power Station Contractor</w:t>
          </w:r>
          <w:r w:rsidR="004B0065">
            <w:t>s</w:t>
          </w:r>
          <w:r w:rsidR="009C0453" w:rsidRPr="009C0453">
            <w:t xml:space="preserve"> provide full, </w:t>
          </w:r>
          <w:proofErr w:type="gramStart"/>
          <w:r w:rsidR="009C0453" w:rsidRPr="009C0453">
            <w:t>fair</w:t>
          </w:r>
          <w:proofErr w:type="gramEnd"/>
          <w:r w:rsidR="009C0453" w:rsidRPr="009C0453">
            <w:t xml:space="preserve"> and reasonable access to local </w:t>
          </w:r>
          <w:r w:rsidR="009C0453">
            <w:t xml:space="preserve">Australian suppliers </w:t>
          </w:r>
          <w:r w:rsidR="009C0453" w:rsidRPr="009C0453">
            <w:t>to participate in subcontrac</w:t>
          </w:r>
          <w:r w:rsidR="009C0453">
            <w:t>ting and procurement activities.</w:t>
          </w:r>
          <w:r w:rsidR="009C0453">
            <w:br/>
          </w:r>
          <w:r w:rsidR="009C0453">
            <w:br/>
          </w:r>
          <w:r w:rsidR="009C0453" w:rsidRPr="000B0191">
            <w:t xml:space="preserve">As at </w:t>
          </w:r>
          <w:r w:rsidR="00CE2084">
            <w:t>8</w:t>
          </w:r>
          <w:r w:rsidR="009C0453" w:rsidRPr="000B0191">
            <w:t xml:space="preserve"> September 2017, PLS is yet to procure the goods and services in respect of the </w:t>
          </w:r>
          <w:proofErr w:type="spellStart"/>
          <w:r w:rsidR="009C0453" w:rsidRPr="000B0191">
            <w:t>borefield</w:t>
          </w:r>
          <w:proofErr w:type="spellEnd"/>
          <w:r w:rsidR="009C0453" w:rsidRPr="000B0191">
            <w:t xml:space="preserve"> network, Great Northern Highway intersection upgrade works, and mining operations centre buildings and infrastructure (</w:t>
          </w:r>
          <w:r w:rsidR="009C0453" w:rsidRPr="00D929DA">
            <w:rPr>
              <w:b/>
            </w:rPr>
            <w:t>Future Procurement Opportunities</w:t>
          </w:r>
          <w:r w:rsidR="009C0453" w:rsidRPr="000B0191">
            <w:t>), which are expected to total</w:t>
          </w:r>
          <w:r w:rsidR="009C0453">
            <w:t xml:space="preserve"> approximately AUD$10 million.</w:t>
          </w:r>
          <w:r w:rsidR="00C720AA">
            <w:t xml:space="preserve"> Remaining goods and services to be procured by the EPC and Power Station Contractors are also indicated in Section 2</w:t>
          </w:r>
          <w:r w:rsidR="00033049">
            <w:t xml:space="preserve"> below</w:t>
          </w:r>
          <w:r w:rsidR="00C720AA">
            <w:t>.</w:t>
          </w:r>
        </w:sdtContent>
      </w:sdt>
      <w:r w:rsidR="00C720AA">
        <w:t xml:space="preserve"> </w:t>
      </w:r>
    </w:p>
    <w:p w14:paraId="3C439212" w14:textId="77777777"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r w:rsidR="000B0191" w:rsidRPr="000B0191">
        <w:t>AUD$234 million</w:t>
      </w:r>
    </w:p>
    <w:p w14:paraId="07477DCE" w14:textId="77777777"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0B0191">
            <w:t>The Project is located approximately 120km south-southeast of Port Hedland in the resource-rich Pilbara region of Western Australia.</w:t>
          </w:r>
        </w:sdtContent>
      </w:sdt>
    </w:p>
    <w:p w14:paraId="5CB20354" w14:textId="77777777"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hyperlink r:id="rId11" w:history="1">
            <w:r w:rsidR="00151F87" w:rsidRPr="002D1ECA">
              <w:rPr>
                <w:rStyle w:val="Hyperlink"/>
              </w:rPr>
              <w:t>http://www.pilbaraminerals.com.au/site/our-business/pilgangoora-lithium-tantalum-project</w:t>
            </w:r>
          </w:hyperlink>
          <w:r w:rsidR="00151F87">
            <w:t xml:space="preserve"> </w:t>
          </w:r>
        </w:sdtContent>
      </w:sdt>
    </w:p>
    <w:p w14:paraId="34368FE6" w14:textId="5D33AA95" w:rsidR="00E45719" w:rsidRPr="000B0191" w:rsidRDefault="00E45719" w:rsidP="001636CE">
      <w:pPr>
        <w:tabs>
          <w:tab w:val="left" w:pos="851"/>
        </w:tabs>
        <w:rPr>
          <w:rStyle w:val="Strong"/>
          <w:b w:val="0"/>
        </w:rPr>
      </w:pPr>
      <w:r>
        <w:rPr>
          <w:rStyle w:val="Strong"/>
        </w:rPr>
        <w:t>Project contact for procurement information:</w:t>
      </w:r>
      <w:r w:rsidRPr="00E45719">
        <w:t xml:space="preserve"> </w:t>
      </w:r>
      <w:r w:rsidR="000B0191">
        <w:br/>
      </w:r>
      <w:sdt>
        <w:sdtPr>
          <w:id w:val="512961548"/>
          <w:placeholder>
            <w:docPart w:val="DA10A35400CA46009E74A29DCD6179A2"/>
          </w:placeholder>
        </w:sdtPr>
        <w:sdtEndPr/>
        <w:sdtContent>
          <w:r w:rsidR="008457FB">
            <w:br/>
          </w:r>
          <w:r w:rsidR="004B0065" w:rsidRPr="004B0065">
            <w:rPr>
              <w:u w:val="single"/>
            </w:rPr>
            <w:t>Pilbara Minerals Limited</w:t>
          </w:r>
          <w:r w:rsidR="004B0065">
            <w:rPr>
              <w:u w:val="single"/>
            </w:rPr>
            <w:tab/>
          </w:r>
          <w:r w:rsidR="004B0065" w:rsidRPr="004B0065">
            <w:tab/>
          </w:r>
          <w:r w:rsidR="004B0065" w:rsidRPr="004B0065">
            <w:tab/>
          </w:r>
          <w:r w:rsidR="004B0065" w:rsidRPr="004B0065">
            <w:tab/>
          </w:r>
          <w:r w:rsidR="004B0065">
            <w:tab/>
          </w:r>
          <w:r w:rsidR="004B0065">
            <w:br/>
          </w:r>
          <w:r w:rsidR="00151F87">
            <w:t xml:space="preserve">Attention: </w:t>
          </w:r>
          <w:r w:rsidR="000B0191">
            <w:t>Dale Henderson, Project Director</w:t>
          </w:r>
          <w:r w:rsidR="000B0191">
            <w:br/>
          </w:r>
          <w:r w:rsidR="00151F87">
            <w:t xml:space="preserve">Telephone: </w:t>
          </w:r>
          <w:r w:rsidR="000B0191">
            <w:t>(08) 6266 6266</w:t>
          </w:r>
          <w:r w:rsidR="000B0191">
            <w:br/>
          </w:r>
          <w:r w:rsidR="00151F87">
            <w:t xml:space="preserve">Email: </w:t>
          </w:r>
          <w:hyperlink r:id="rId12" w:history="1">
            <w:r w:rsidR="004B0065" w:rsidRPr="002D1ECA">
              <w:rPr>
                <w:rStyle w:val="Hyperlink"/>
              </w:rPr>
              <w:t>dhenderson@pilbaraminerals.com.au</w:t>
            </w:r>
          </w:hyperlink>
          <w:r w:rsidR="004B0065">
            <w:br/>
            <w:t xml:space="preserve"> </w:t>
          </w:r>
          <w:r w:rsidR="00151F87">
            <w:br/>
          </w:r>
          <w:r w:rsidR="00151F87" w:rsidRPr="004B0065">
            <w:rPr>
              <w:u w:val="single"/>
            </w:rPr>
            <w:t>EPC Contractor</w:t>
          </w:r>
          <w:r w:rsidR="00151F87" w:rsidRPr="004B0065">
            <w:rPr>
              <w:u w:val="single"/>
            </w:rPr>
            <w:tab/>
          </w:r>
          <w:r w:rsidR="00151F87">
            <w:rPr>
              <w:u w:val="single"/>
            </w:rPr>
            <w:br/>
          </w:r>
          <w:r w:rsidR="00151F87">
            <w:t xml:space="preserve">Attention: </w:t>
          </w:r>
          <w:r w:rsidR="00151F87" w:rsidRPr="004B0065">
            <w:t>Steven Jeffery, Commercial Manager</w:t>
          </w:r>
          <w:r w:rsidR="00151F87">
            <w:br/>
            <w:t xml:space="preserve">Email: </w:t>
          </w:r>
          <w:hyperlink r:id="rId13" w:history="1">
            <w:r w:rsidR="00151F87" w:rsidRPr="002D1ECA">
              <w:rPr>
                <w:rStyle w:val="Hyperlink"/>
              </w:rPr>
              <w:t>procurement.pls@rcrtom.com.au</w:t>
            </w:r>
          </w:hyperlink>
          <w:r w:rsidR="00151F87">
            <w:t xml:space="preserve"> </w:t>
          </w:r>
          <w:r w:rsidR="00151F87">
            <w:br/>
            <w:t xml:space="preserve">Address: </w:t>
          </w:r>
          <w:r w:rsidR="00151F87">
            <w:tab/>
            <w:t xml:space="preserve">Level 6, 251 St Georges </w:t>
          </w:r>
          <w:proofErr w:type="spellStart"/>
          <w:r w:rsidR="00151F87">
            <w:t>Tce</w:t>
          </w:r>
          <w:proofErr w:type="spellEnd"/>
          <w:r w:rsidR="00151F87">
            <w:br/>
            <w:t xml:space="preserve"> </w:t>
          </w:r>
          <w:r w:rsidR="00151F87">
            <w:tab/>
            <w:t>PERTH</w:t>
          </w:r>
          <w:r w:rsidR="00151F87" w:rsidRPr="004B0065">
            <w:t xml:space="preserve"> </w:t>
          </w:r>
          <w:r w:rsidR="00151F87">
            <w:t xml:space="preserve"> </w:t>
          </w:r>
          <w:r w:rsidR="00151F87" w:rsidRPr="004B0065">
            <w:t>WA</w:t>
          </w:r>
          <w:r w:rsidR="00151F87">
            <w:t xml:space="preserve"> </w:t>
          </w:r>
          <w:r w:rsidR="00151F87" w:rsidRPr="004B0065">
            <w:t xml:space="preserve"> 6000</w:t>
          </w:r>
          <w:r w:rsidR="00151F87">
            <w:rPr>
              <w:u w:val="single"/>
            </w:rPr>
            <w:br/>
          </w:r>
          <w:r w:rsidR="004B0065">
            <w:tab/>
          </w:r>
          <w:r w:rsidR="004B0065">
            <w:tab/>
          </w:r>
          <w:r w:rsidR="004B0065">
            <w:tab/>
          </w:r>
          <w:r w:rsidR="004B0065">
            <w:tab/>
          </w:r>
          <w:r w:rsidR="004B0065">
            <w:tab/>
          </w:r>
          <w:r w:rsidR="004B0065">
            <w:tab/>
          </w:r>
          <w:r w:rsidR="004B0065">
            <w:br/>
          </w:r>
          <w:r w:rsidR="004B0065" w:rsidRPr="00151F87">
            <w:rPr>
              <w:u w:val="single"/>
            </w:rPr>
            <w:lastRenderedPageBreak/>
            <w:t>Power Station Contractor</w:t>
          </w:r>
          <w:r w:rsidR="00151F87">
            <w:br/>
            <w:t>Attention: Ashley Byatt, Purchasing Officer</w:t>
          </w:r>
          <w:r w:rsidR="00151F87">
            <w:br/>
            <w:t>Telephone: (08) 9453 3375</w:t>
          </w:r>
          <w:r w:rsidR="001636CE">
            <w:br/>
            <w:t xml:space="preserve">Email: </w:t>
          </w:r>
          <w:hyperlink r:id="rId14" w:history="1">
            <w:r w:rsidR="00CE2084" w:rsidRPr="002943AC">
              <w:rPr>
                <w:rStyle w:val="Hyperlink"/>
              </w:rPr>
              <w:t>cpma@contractpower.com.au</w:t>
            </w:r>
          </w:hyperlink>
          <w:r w:rsidR="00CE2084">
            <w:t xml:space="preserve"> </w:t>
          </w:r>
          <w:r w:rsidR="00151F87">
            <w:br/>
            <w:t>Address:</w:t>
          </w:r>
          <w:r w:rsidR="00151F87">
            <w:tab/>
            <w:t>2 Chisholm Crescent</w:t>
          </w:r>
          <w:r w:rsidR="00151F87">
            <w:br/>
            <w:t xml:space="preserve"> </w:t>
          </w:r>
          <w:r w:rsidR="00151F87">
            <w:tab/>
            <w:t>KEWDALE  WA  6105</w:t>
          </w:r>
          <w:r w:rsidR="00CE2084">
            <w:br/>
          </w:r>
        </w:sdtContent>
      </w:sdt>
    </w:p>
    <w:p w14:paraId="2C3B30FD" w14:textId="77777777" w:rsidR="00E45719" w:rsidRPr="00E45719" w:rsidRDefault="00E45719" w:rsidP="004B0065">
      <w:pPr>
        <w:pStyle w:val="Heading2"/>
        <w:keepNext/>
      </w:pPr>
      <w:r w:rsidRPr="00E45719">
        <w:t xml:space="preserve">2. </w:t>
      </w:r>
      <w:r>
        <w:t>Opportunities for Australian industry involvement</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17A7A354" w14:textId="77777777" w:rsidTr="004B0065">
            <w:trPr>
              <w:tblHeader/>
            </w:trPr>
            <w:tc>
              <w:tcPr>
                <w:tcW w:w="5960" w:type="dxa"/>
              </w:tcPr>
              <w:p w14:paraId="75D329DB"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40F9AF7E" w14:textId="77777777"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p>
            </w:tc>
            <w:tc>
              <w:tcPr>
                <w:tcW w:w="1528" w:type="dxa"/>
              </w:tcPr>
              <w:p w14:paraId="45CE5535"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A5285B" w14:paraId="2DF3081F" w14:textId="77777777" w:rsidTr="004B0065">
        <w:sdt>
          <w:sdtPr>
            <w:id w:val="-1233541750"/>
            <w:placeholder>
              <w:docPart w:val="B56BA666558B49F8B855AE4B20EA6C38"/>
            </w:placeholder>
          </w:sdtPr>
          <w:sdtEndPr/>
          <w:sdtContent>
            <w:tc>
              <w:tcPr>
                <w:tcW w:w="5960" w:type="dxa"/>
              </w:tcPr>
              <w:p w14:paraId="15319586" w14:textId="77777777" w:rsidR="00A5285B" w:rsidRDefault="004B0065" w:rsidP="00BE6541">
                <w:pPr>
                  <w:spacing w:before="120"/>
                </w:pPr>
                <w:r w:rsidRPr="004B0065">
                  <w:t>Mining Operations Centre Buildings and Infrastructure</w:t>
                </w:r>
              </w:p>
            </w:tc>
          </w:sdtContent>
        </w:sdt>
        <w:sdt>
          <w:sdtPr>
            <w:id w:val="292960762"/>
            <w:placeholder>
              <w:docPart w:val="A0F9DC13668A44099383AE743A0BC14A"/>
            </w:placeholder>
          </w:sdtPr>
          <w:sdtEndPr/>
          <w:sdtContent>
            <w:tc>
              <w:tcPr>
                <w:tcW w:w="1528" w:type="dxa"/>
              </w:tcPr>
              <w:p w14:paraId="2A41FE83" w14:textId="77777777" w:rsidR="00A5285B" w:rsidRDefault="004B0065" w:rsidP="00BE6541">
                <w:pPr>
                  <w:spacing w:before="120"/>
                </w:pPr>
                <w:r>
                  <w:t>Yes</w:t>
                </w:r>
              </w:p>
            </w:tc>
          </w:sdtContent>
        </w:sdt>
        <w:sdt>
          <w:sdtPr>
            <w:id w:val="1823071348"/>
            <w:placeholder>
              <w:docPart w:val="AFC4747282A0402CA16004305193CC4E"/>
            </w:placeholder>
          </w:sdtPr>
          <w:sdtEndPr/>
          <w:sdtContent>
            <w:tc>
              <w:tcPr>
                <w:tcW w:w="1528" w:type="dxa"/>
              </w:tcPr>
              <w:p w14:paraId="40CDB058" w14:textId="77777777" w:rsidR="00A5285B" w:rsidRDefault="004B0065" w:rsidP="00BE6541">
                <w:pPr>
                  <w:spacing w:before="120"/>
                </w:pPr>
                <w:r>
                  <w:t>No</w:t>
                </w:r>
              </w:p>
            </w:tc>
          </w:sdtContent>
        </w:sdt>
      </w:tr>
      <w:tr w:rsidR="004B0065" w14:paraId="6195393F" w14:textId="77777777" w:rsidTr="004B0065">
        <w:tc>
          <w:tcPr>
            <w:tcW w:w="5960" w:type="dxa"/>
          </w:tcPr>
          <w:p w14:paraId="5F8B532B" w14:textId="77777777" w:rsidR="004B0065" w:rsidRPr="004B0065" w:rsidRDefault="004B0065" w:rsidP="00BE6541">
            <w:pPr>
              <w:spacing w:before="120"/>
            </w:pPr>
            <w:r w:rsidRPr="004B0065">
              <w:t>Great Northern Highway intersection upgrade</w:t>
            </w:r>
          </w:p>
        </w:tc>
        <w:tc>
          <w:tcPr>
            <w:tcW w:w="1528" w:type="dxa"/>
          </w:tcPr>
          <w:p w14:paraId="7F028484" w14:textId="77777777" w:rsidR="004B0065" w:rsidRDefault="004B0065" w:rsidP="00BE6541">
            <w:pPr>
              <w:spacing w:before="120"/>
            </w:pPr>
            <w:r>
              <w:t>Yes</w:t>
            </w:r>
          </w:p>
        </w:tc>
        <w:tc>
          <w:tcPr>
            <w:tcW w:w="1528" w:type="dxa"/>
          </w:tcPr>
          <w:p w14:paraId="1EA2AB60" w14:textId="77777777" w:rsidR="004B0065" w:rsidRDefault="004B0065" w:rsidP="00BE6541">
            <w:pPr>
              <w:spacing w:before="120"/>
            </w:pPr>
            <w:r>
              <w:t>No</w:t>
            </w:r>
          </w:p>
        </w:tc>
      </w:tr>
      <w:tr w:rsidR="004B0065" w14:paraId="51D1BD0F" w14:textId="77777777" w:rsidTr="004B0065">
        <w:tc>
          <w:tcPr>
            <w:tcW w:w="5960" w:type="dxa"/>
          </w:tcPr>
          <w:p w14:paraId="34C208A5" w14:textId="77777777" w:rsidR="004B0065" w:rsidRDefault="004B0065" w:rsidP="00BE6541">
            <w:pPr>
              <w:spacing w:before="120"/>
            </w:pPr>
            <w:proofErr w:type="spellStart"/>
            <w:r>
              <w:t>Borefield</w:t>
            </w:r>
            <w:proofErr w:type="spellEnd"/>
            <w:r>
              <w:t xml:space="preserve"> works</w:t>
            </w:r>
            <w:r w:rsidR="000A6D6D">
              <w:t>:</w:t>
            </w:r>
          </w:p>
          <w:p w14:paraId="12D264DB" w14:textId="77777777" w:rsidR="000A6D6D" w:rsidRPr="000A6D6D" w:rsidRDefault="000A6D6D" w:rsidP="000A6D6D">
            <w:pPr>
              <w:numPr>
                <w:ilvl w:val="0"/>
                <w:numId w:val="4"/>
              </w:numPr>
              <w:spacing w:before="120"/>
            </w:pPr>
            <w:r w:rsidRPr="000A6D6D">
              <w:t xml:space="preserve">Pipeline service trenching </w:t>
            </w:r>
          </w:p>
          <w:p w14:paraId="2C73E0E7" w14:textId="77777777" w:rsidR="000A6D6D" w:rsidRPr="000A6D6D" w:rsidRDefault="000A6D6D" w:rsidP="000A6D6D">
            <w:pPr>
              <w:numPr>
                <w:ilvl w:val="0"/>
                <w:numId w:val="4"/>
              </w:numPr>
              <w:spacing w:before="120"/>
            </w:pPr>
            <w:r w:rsidRPr="000A6D6D">
              <w:t xml:space="preserve">Pipeline access service track </w:t>
            </w:r>
          </w:p>
          <w:p w14:paraId="7487D25C" w14:textId="77777777" w:rsidR="000A6D6D" w:rsidRPr="000A6D6D" w:rsidRDefault="000A6D6D" w:rsidP="000A6D6D">
            <w:pPr>
              <w:numPr>
                <w:ilvl w:val="0"/>
                <w:numId w:val="4"/>
              </w:numPr>
              <w:spacing w:before="120"/>
            </w:pPr>
            <w:r w:rsidRPr="000A6D6D">
              <w:t>HDPE pipe – design and supply</w:t>
            </w:r>
          </w:p>
          <w:p w14:paraId="199E0876" w14:textId="77777777" w:rsidR="000A6D6D" w:rsidRPr="000A6D6D" w:rsidRDefault="000A6D6D" w:rsidP="000A6D6D">
            <w:pPr>
              <w:numPr>
                <w:ilvl w:val="0"/>
                <w:numId w:val="4"/>
              </w:numPr>
              <w:spacing w:before="120"/>
            </w:pPr>
            <w:r w:rsidRPr="000A6D6D">
              <w:t xml:space="preserve">HDPE pipe – install </w:t>
            </w:r>
          </w:p>
          <w:p w14:paraId="5EB76637" w14:textId="77777777" w:rsidR="000A6D6D" w:rsidRPr="000A6D6D" w:rsidRDefault="000A6D6D" w:rsidP="000A6D6D">
            <w:pPr>
              <w:numPr>
                <w:ilvl w:val="0"/>
                <w:numId w:val="4"/>
              </w:numPr>
              <w:spacing w:before="120"/>
            </w:pPr>
            <w:r w:rsidRPr="000A6D6D">
              <w:t xml:space="preserve">Hire of bore pumps </w:t>
            </w:r>
          </w:p>
          <w:p w14:paraId="3CD93388" w14:textId="77777777" w:rsidR="000A6D6D" w:rsidRPr="000A6D6D" w:rsidRDefault="000A6D6D" w:rsidP="000A6D6D">
            <w:pPr>
              <w:numPr>
                <w:ilvl w:val="0"/>
                <w:numId w:val="4"/>
              </w:numPr>
              <w:spacing w:before="120"/>
            </w:pPr>
            <w:r w:rsidRPr="000A6D6D">
              <w:t>Telemetry configuration and testing onsite</w:t>
            </w:r>
          </w:p>
          <w:p w14:paraId="739AC34B" w14:textId="77777777" w:rsidR="000A6D6D" w:rsidRPr="004B0065" w:rsidRDefault="000A6D6D" w:rsidP="000A6D6D">
            <w:pPr>
              <w:numPr>
                <w:ilvl w:val="0"/>
                <w:numId w:val="4"/>
              </w:numPr>
              <w:spacing w:before="120"/>
            </w:pPr>
            <w:r w:rsidRPr="000A6D6D">
              <w:t>Pipeline Hydrostatic Testing onsite</w:t>
            </w:r>
          </w:p>
        </w:tc>
        <w:tc>
          <w:tcPr>
            <w:tcW w:w="1528" w:type="dxa"/>
          </w:tcPr>
          <w:p w14:paraId="1342FAC0" w14:textId="77777777" w:rsidR="000A6D6D" w:rsidRDefault="000A6D6D" w:rsidP="00BE6541">
            <w:pPr>
              <w:spacing w:before="120"/>
            </w:pPr>
          </w:p>
          <w:p w14:paraId="0B9A5DD0" w14:textId="77777777" w:rsidR="004B0065" w:rsidRDefault="004B0065" w:rsidP="00BE6541">
            <w:pPr>
              <w:spacing w:before="120"/>
            </w:pPr>
            <w:r>
              <w:t>Yes</w:t>
            </w:r>
          </w:p>
          <w:p w14:paraId="3C0DA1AB" w14:textId="77777777" w:rsidR="000A6D6D" w:rsidRPr="000A6D6D" w:rsidRDefault="000A6D6D" w:rsidP="000A6D6D">
            <w:pPr>
              <w:spacing w:before="120"/>
            </w:pPr>
            <w:r w:rsidRPr="000A6D6D">
              <w:t>Yes</w:t>
            </w:r>
          </w:p>
          <w:p w14:paraId="7200044B" w14:textId="77777777" w:rsidR="000A6D6D" w:rsidRPr="000A6D6D" w:rsidRDefault="000A6D6D" w:rsidP="000A6D6D">
            <w:pPr>
              <w:spacing w:before="120"/>
            </w:pPr>
            <w:r w:rsidRPr="000A6D6D">
              <w:t>Yes</w:t>
            </w:r>
          </w:p>
          <w:p w14:paraId="05B1B606" w14:textId="77777777" w:rsidR="000A6D6D" w:rsidRPr="000A6D6D" w:rsidRDefault="000A6D6D" w:rsidP="000A6D6D">
            <w:pPr>
              <w:spacing w:before="120"/>
            </w:pPr>
            <w:r w:rsidRPr="000A6D6D">
              <w:t>Yes</w:t>
            </w:r>
          </w:p>
          <w:p w14:paraId="0DA0B290" w14:textId="77777777" w:rsidR="000A6D6D" w:rsidRPr="000A6D6D" w:rsidRDefault="000A6D6D" w:rsidP="000A6D6D">
            <w:pPr>
              <w:spacing w:before="120"/>
            </w:pPr>
            <w:r w:rsidRPr="000A6D6D">
              <w:t>Yes</w:t>
            </w:r>
          </w:p>
          <w:p w14:paraId="68EF027F" w14:textId="77777777" w:rsidR="000A6D6D" w:rsidRPr="000A6D6D" w:rsidRDefault="000A6D6D" w:rsidP="000A6D6D">
            <w:pPr>
              <w:spacing w:before="120"/>
            </w:pPr>
            <w:r w:rsidRPr="000A6D6D">
              <w:t>Yes</w:t>
            </w:r>
          </w:p>
          <w:p w14:paraId="343FA737" w14:textId="77777777" w:rsidR="000A6D6D" w:rsidRDefault="000A6D6D" w:rsidP="000A6D6D">
            <w:pPr>
              <w:spacing w:before="120"/>
            </w:pPr>
            <w:r w:rsidRPr="000A6D6D">
              <w:t>Yes</w:t>
            </w:r>
          </w:p>
        </w:tc>
        <w:tc>
          <w:tcPr>
            <w:tcW w:w="1528" w:type="dxa"/>
          </w:tcPr>
          <w:p w14:paraId="08FEC419" w14:textId="77777777" w:rsidR="000A6D6D" w:rsidRDefault="000A6D6D" w:rsidP="00BE6541">
            <w:pPr>
              <w:spacing w:before="120"/>
            </w:pPr>
          </w:p>
          <w:p w14:paraId="30B5A1C3" w14:textId="77777777" w:rsidR="004B0065" w:rsidRDefault="004B0065" w:rsidP="00BE6541">
            <w:pPr>
              <w:spacing w:before="120"/>
            </w:pPr>
            <w:r>
              <w:t>No</w:t>
            </w:r>
          </w:p>
          <w:p w14:paraId="430B95E6" w14:textId="77777777" w:rsidR="000A6D6D" w:rsidRPr="000A6D6D" w:rsidRDefault="000A6D6D" w:rsidP="000A6D6D">
            <w:r w:rsidRPr="000A6D6D">
              <w:t>No</w:t>
            </w:r>
          </w:p>
          <w:p w14:paraId="2E826D26" w14:textId="77777777" w:rsidR="000A6D6D" w:rsidRPr="000A6D6D" w:rsidRDefault="000A6D6D" w:rsidP="000A6D6D">
            <w:r w:rsidRPr="000A6D6D">
              <w:t>Yes</w:t>
            </w:r>
          </w:p>
          <w:p w14:paraId="5CA2276A" w14:textId="77777777" w:rsidR="000A6D6D" w:rsidRPr="000A6D6D" w:rsidRDefault="000A6D6D" w:rsidP="000A6D6D">
            <w:r w:rsidRPr="000A6D6D">
              <w:t>No</w:t>
            </w:r>
          </w:p>
          <w:p w14:paraId="53CEFAD4" w14:textId="77777777" w:rsidR="000A6D6D" w:rsidRPr="000A6D6D" w:rsidRDefault="000A6D6D" w:rsidP="000A6D6D">
            <w:r w:rsidRPr="000A6D6D">
              <w:t>No</w:t>
            </w:r>
          </w:p>
          <w:p w14:paraId="46797161" w14:textId="77777777" w:rsidR="000A6D6D" w:rsidRPr="000A6D6D" w:rsidRDefault="000A6D6D" w:rsidP="000A6D6D">
            <w:r w:rsidRPr="000A6D6D">
              <w:t>No</w:t>
            </w:r>
          </w:p>
          <w:p w14:paraId="3BFF7253" w14:textId="77777777" w:rsidR="000A6D6D" w:rsidRDefault="000A6D6D" w:rsidP="000A6D6D">
            <w:pPr>
              <w:spacing w:before="120"/>
            </w:pPr>
            <w:r w:rsidRPr="000A6D6D">
              <w:t>No</w:t>
            </w:r>
          </w:p>
        </w:tc>
      </w:tr>
      <w:tr w:rsidR="004B0065" w14:paraId="3CBEFE75" w14:textId="77777777" w:rsidTr="004B0065">
        <w:tc>
          <w:tcPr>
            <w:tcW w:w="5960" w:type="dxa"/>
          </w:tcPr>
          <w:p w14:paraId="764EB94B" w14:textId="77777777" w:rsidR="000A6D6D" w:rsidRPr="000A6D6D" w:rsidRDefault="004B0065" w:rsidP="000A6D6D">
            <w:pPr>
              <w:spacing w:before="120"/>
              <w:rPr>
                <w:vertAlign w:val="superscript"/>
              </w:rPr>
            </w:pPr>
            <w:r w:rsidRPr="004B0065">
              <w:t>Power Station Construction</w:t>
            </w:r>
            <w:r w:rsidR="000A6D6D">
              <w:t xml:space="preserve"> </w:t>
            </w:r>
            <w:r w:rsidR="000A6D6D" w:rsidRPr="000A6D6D">
              <w:t>(Engine Hall construction – labour and lifting machines)</w:t>
            </w:r>
            <w:r>
              <w:rPr>
                <w:vertAlign w:val="superscript"/>
              </w:rPr>
              <w:t>1</w:t>
            </w:r>
          </w:p>
        </w:tc>
        <w:tc>
          <w:tcPr>
            <w:tcW w:w="1528" w:type="dxa"/>
          </w:tcPr>
          <w:p w14:paraId="45277213" w14:textId="77777777" w:rsidR="004B0065" w:rsidRDefault="004B0065" w:rsidP="00BE6541">
            <w:pPr>
              <w:spacing w:before="120"/>
            </w:pPr>
            <w:r>
              <w:t>Yes</w:t>
            </w:r>
          </w:p>
        </w:tc>
        <w:tc>
          <w:tcPr>
            <w:tcW w:w="1528" w:type="dxa"/>
          </w:tcPr>
          <w:p w14:paraId="15501840" w14:textId="77777777" w:rsidR="004B0065" w:rsidRDefault="004B0065" w:rsidP="00BE6541">
            <w:pPr>
              <w:spacing w:before="120"/>
            </w:pPr>
            <w:r>
              <w:t>No</w:t>
            </w:r>
          </w:p>
        </w:tc>
      </w:tr>
      <w:tr w:rsidR="004B0065" w14:paraId="015FAB98" w14:textId="77777777" w:rsidTr="004B0065">
        <w:tc>
          <w:tcPr>
            <w:tcW w:w="5960" w:type="dxa"/>
            <w:tcBorders>
              <w:bottom w:val="single" w:sz="4" w:space="0" w:color="auto"/>
            </w:tcBorders>
          </w:tcPr>
          <w:p w14:paraId="0634929E" w14:textId="77777777" w:rsidR="004B0065" w:rsidRDefault="004B0065" w:rsidP="00BE6541">
            <w:pPr>
              <w:spacing w:before="120"/>
            </w:pPr>
            <w:r>
              <w:t>Supply Power Station Equipment</w:t>
            </w:r>
            <w:r>
              <w:rPr>
                <w:vertAlign w:val="superscript"/>
              </w:rPr>
              <w:t>1</w:t>
            </w:r>
            <w:r w:rsidR="00496B00">
              <w:t>:</w:t>
            </w:r>
          </w:p>
          <w:p w14:paraId="29E96F26" w14:textId="77777777" w:rsidR="000A6D6D" w:rsidRDefault="000A6D6D" w:rsidP="000A6D6D">
            <w:pPr>
              <w:pStyle w:val="ListParagraph"/>
              <w:numPr>
                <w:ilvl w:val="0"/>
                <w:numId w:val="4"/>
              </w:numPr>
              <w:spacing w:before="120"/>
              <w:ind w:left="714" w:hanging="357"/>
              <w:contextualSpacing w:val="0"/>
            </w:pPr>
            <w:r>
              <w:t xml:space="preserve">Generator sets (Engine and alternator) </w:t>
            </w:r>
          </w:p>
          <w:p w14:paraId="7B59BDAC" w14:textId="77777777" w:rsidR="000A6D6D" w:rsidRDefault="000A6D6D" w:rsidP="000A6D6D">
            <w:pPr>
              <w:pStyle w:val="ListParagraph"/>
              <w:numPr>
                <w:ilvl w:val="0"/>
                <w:numId w:val="4"/>
              </w:numPr>
              <w:spacing w:before="120"/>
              <w:ind w:left="714" w:hanging="357"/>
              <w:contextualSpacing w:val="0"/>
            </w:pPr>
            <w:r>
              <w:t>Switchgear</w:t>
            </w:r>
          </w:p>
          <w:p w14:paraId="3CCE6A84" w14:textId="77777777" w:rsidR="000A6D6D" w:rsidRDefault="000A6D6D" w:rsidP="000A6D6D">
            <w:pPr>
              <w:pStyle w:val="ListParagraph"/>
              <w:numPr>
                <w:ilvl w:val="0"/>
                <w:numId w:val="4"/>
              </w:numPr>
              <w:spacing w:before="120"/>
              <w:ind w:left="714" w:hanging="357"/>
              <w:contextualSpacing w:val="0"/>
            </w:pPr>
            <w:r>
              <w:t>Switchboard</w:t>
            </w:r>
          </w:p>
          <w:p w14:paraId="55D92DAF" w14:textId="77777777" w:rsidR="000A6D6D" w:rsidRDefault="000A6D6D" w:rsidP="000A6D6D">
            <w:pPr>
              <w:pStyle w:val="ListParagraph"/>
              <w:numPr>
                <w:ilvl w:val="0"/>
                <w:numId w:val="4"/>
              </w:numPr>
              <w:spacing w:before="120"/>
              <w:ind w:left="714" w:hanging="357"/>
              <w:contextualSpacing w:val="0"/>
            </w:pPr>
            <w:r>
              <w:t>Transformers</w:t>
            </w:r>
          </w:p>
          <w:p w14:paraId="07BA635A" w14:textId="77777777" w:rsidR="000A6D6D" w:rsidRDefault="000A6D6D" w:rsidP="000A6D6D">
            <w:pPr>
              <w:pStyle w:val="ListParagraph"/>
              <w:numPr>
                <w:ilvl w:val="0"/>
                <w:numId w:val="4"/>
              </w:numPr>
              <w:spacing w:before="120"/>
              <w:ind w:left="714" w:hanging="357"/>
              <w:contextualSpacing w:val="0"/>
            </w:pPr>
            <w:r>
              <w:t>Engine hall (building)</w:t>
            </w:r>
          </w:p>
          <w:p w14:paraId="14821FD5" w14:textId="77777777" w:rsidR="000A6D6D" w:rsidRPr="000A6D6D" w:rsidRDefault="000A6D6D" w:rsidP="001636CE">
            <w:pPr>
              <w:pStyle w:val="ListParagraph"/>
              <w:numPr>
                <w:ilvl w:val="0"/>
                <w:numId w:val="4"/>
              </w:numPr>
              <w:spacing w:before="120"/>
              <w:ind w:left="714" w:hanging="357"/>
              <w:contextualSpacing w:val="0"/>
            </w:pPr>
            <w:proofErr w:type="spellStart"/>
            <w:r>
              <w:t>Switchroom</w:t>
            </w:r>
            <w:proofErr w:type="spellEnd"/>
          </w:p>
        </w:tc>
        <w:tc>
          <w:tcPr>
            <w:tcW w:w="1528" w:type="dxa"/>
            <w:tcBorders>
              <w:bottom w:val="single" w:sz="4" w:space="0" w:color="auto"/>
            </w:tcBorders>
          </w:tcPr>
          <w:p w14:paraId="5F0BE154" w14:textId="77777777" w:rsidR="004B0065" w:rsidRDefault="004B0065" w:rsidP="00BE6541">
            <w:pPr>
              <w:spacing w:before="120"/>
            </w:pPr>
            <w:r>
              <w:t>Yes</w:t>
            </w:r>
          </w:p>
        </w:tc>
        <w:tc>
          <w:tcPr>
            <w:tcW w:w="1528" w:type="dxa"/>
            <w:tcBorders>
              <w:bottom w:val="single" w:sz="4" w:space="0" w:color="auto"/>
            </w:tcBorders>
          </w:tcPr>
          <w:p w14:paraId="65D04122" w14:textId="77777777" w:rsidR="004B0065" w:rsidRDefault="004B0065" w:rsidP="00BE6541">
            <w:pPr>
              <w:spacing w:before="120"/>
            </w:pPr>
            <w:r>
              <w:t>Yes</w:t>
            </w:r>
          </w:p>
        </w:tc>
      </w:tr>
      <w:tr w:rsidR="004B0065" w14:paraId="1A6B91C4" w14:textId="77777777" w:rsidTr="004B0065">
        <w:tc>
          <w:tcPr>
            <w:tcW w:w="5960" w:type="dxa"/>
            <w:tcBorders>
              <w:bottom w:val="single" w:sz="4" w:space="0" w:color="auto"/>
            </w:tcBorders>
          </w:tcPr>
          <w:p w14:paraId="4E468B75" w14:textId="75328E7A" w:rsidR="004B0065" w:rsidRPr="004B0065" w:rsidRDefault="004B0065" w:rsidP="00BE6541">
            <w:pPr>
              <w:spacing w:before="120"/>
              <w:rPr>
                <w:vertAlign w:val="superscript"/>
              </w:rPr>
            </w:pPr>
            <w:r>
              <w:t>Labour</w:t>
            </w:r>
            <w:r w:rsidR="000A6D6D">
              <w:t xml:space="preserve"> (other than Labour in respect of the </w:t>
            </w:r>
            <w:r w:rsidR="000A6D6D" w:rsidRPr="003054A3">
              <w:t xml:space="preserve">Mining Operations Centre Buildings and Infrastructure, Great Northern Highway intersection upgrade, and </w:t>
            </w:r>
            <w:proofErr w:type="spellStart"/>
            <w:r w:rsidR="000A6D6D" w:rsidRPr="003054A3">
              <w:t>Borefield</w:t>
            </w:r>
            <w:proofErr w:type="spellEnd"/>
            <w:r w:rsidR="000A6D6D" w:rsidRPr="003054A3">
              <w:t xml:space="preserve"> works</w:t>
            </w:r>
            <w:r w:rsidR="000A6D6D">
              <w:t>)</w:t>
            </w:r>
            <w:r>
              <w:t xml:space="preserve"> through EPC arrangement</w:t>
            </w:r>
            <w:r>
              <w:rPr>
                <w:vertAlign w:val="superscript"/>
              </w:rPr>
              <w:t>2</w:t>
            </w:r>
          </w:p>
        </w:tc>
        <w:tc>
          <w:tcPr>
            <w:tcW w:w="1528" w:type="dxa"/>
            <w:tcBorders>
              <w:bottom w:val="single" w:sz="4" w:space="0" w:color="auto"/>
            </w:tcBorders>
          </w:tcPr>
          <w:p w14:paraId="0360EBEA" w14:textId="77777777" w:rsidR="004B0065" w:rsidRDefault="004B0065" w:rsidP="00BE6541">
            <w:pPr>
              <w:spacing w:before="120"/>
            </w:pPr>
            <w:r>
              <w:t>Yes</w:t>
            </w:r>
          </w:p>
        </w:tc>
        <w:tc>
          <w:tcPr>
            <w:tcW w:w="1528" w:type="dxa"/>
            <w:tcBorders>
              <w:bottom w:val="single" w:sz="4" w:space="0" w:color="auto"/>
            </w:tcBorders>
          </w:tcPr>
          <w:p w14:paraId="384717DF" w14:textId="77777777" w:rsidR="004B0065" w:rsidRDefault="004B0065" w:rsidP="00BE6541">
            <w:pPr>
              <w:spacing w:before="120"/>
            </w:pPr>
            <w:r>
              <w:t>No</w:t>
            </w:r>
          </w:p>
        </w:tc>
      </w:tr>
      <w:tr w:rsidR="004B0065" w14:paraId="7BCCC4BC" w14:textId="77777777" w:rsidTr="004B0065">
        <w:tc>
          <w:tcPr>
            <w:tcW w:w="9016" w:type="dxa"/>
            <w:gridSpan w:val="3"/>
            <w:tcBorders>
              <w:top w:val="single" w:sz="4" w:space="0" w:color="auto"/>
              <w:left w:val="nil"/>
              <w:bottom w:val="nil"/>
              <w:right w:val="nil"/>
            </w:tcBorders>
          </w:tcPr>
          <w:p w14:paraId="2BC3D82F" w14:textId="1E04DE7C" w:rsidR="004B0065" w:rsidRPr="00151F87" w:rsidRDefault="004B0065" w:rsidP="00151F87">
            <w:pPr>
              <w:spacing w:before="120"/>
              <w:ind w:left="-112"/>
            </w:pPr>
            <w:r w:rsidRPr="00151F87">
              <w:rPr>
                <w:vertAlign w:val="superscript"/>
              </w:rPr>
              <w:t>1</w:t>
            </w:r>
            <w:r w:rsidRPr="00151F87">
              <w:t xml:space="preserve"> The Power Station Contractor is responsible for procurement of these goods/services. Contact the Power Station Contractor directly.</w:t>
            </w:r>
          </w:p>
          <w:p w14:paraId="13493D99" w14:textId="2BB0EF6A" w:rsidR="004B0065" w:rsidRPr="00151F87" w:rsidRDefault="004B0065" w:rsidP="00151F87">
            <w:pPr>
              <w:spacing w:before="120"/>
              <w:ind w:left="-112"/>
            </w:pPr>
            <w:r w:rsidRPr="00151F87">
              <w:rPr>
                <w:vertAlign w:val="superscript"/>
              </w:rPr>
              <w:t>2</w:t>
            </w:r>
            <w:r w:rsidRPr="00151F87">
              <w:t xml:space="preserve"> The EPC Contractor is responsible for procurement of these goods/services. Contact the</w:t>
            </w:r>
            <w:r w:rsidR="00151F87" w:rsidRPr="00151F87">
              <w:t xml:space="preserve"> </w:t>
            </w:r>
            <w:r w:rsidRPr="00151F87">
              <w:t>EPC Contractor directly.</w:t>
            </w:r>
            <w:r w:rsidR="001636CE">
              <w:br/>
            </w:r>
          </w:p>
        </w:tc>
      </w:tr>
    </w:tbl>
    <w:sdt>
      <w:sdtPr>
        <w:id w:val="2141458277"/>
        <w:lock w:val="contentLocked"/>
        <w:placeholder>
          <w:docPart w:val="3F6027781C7C4FF1AAC90592D213C1D7"/>
        </w:placeholder>
        <w:group/>
      </w:sdtPr>
      <w:sdtEndPr/>
      <w:sdtContent>
        <w:p w14:paraId="79A45C4D" w14:textId="77777777" w:rsidR="00E45719" w:rsidRDefault="00A5285B" w:rsidP="00632568">
          <w:r>
            <w:t>Disclaimer: The information provided in the table above is based on an initial assessment by the company. Any questions or issues should be raised with the project contact.</w:t>
          </w:r>
        </w:p>
        <w:p w14:paraId="3175E77E" w14:textId="77777777" w:rsidR="00E45719" w:rsidRDefault="00E45719" w:rsidP="00E45719">
          <w:pPr>
            <w:pStyle w:val="Heading2"/>
          </w:pPr>
          <w:r>
            <w:lastRenderedPageBreak/>
            <w:t>3. Communication Strategy</w:t>
          </w:r>
        </w:p>
        <w:sdt>
          <w:sdtPr>
            <w:id w:val="628297186"/>
            <w:placeholder>
              <w:docPart w:val="64CF48C855E445B9ABF8A73251E35A5F"/>
            </w:placeholder>
          </w:sdtPr>
          <w:sdtEndPr/>
          <w:sdtContent>
            <w:p w14:paraId="133E8772" w14:textId="6E69E82F" w:rsidR="000B0191" w:rsidRDefault="000B0191" w:rsidP="000B0191">
              <w:pPr>
                <w:pStyle w:val="ListParagraph"/>
              </w:pPr>
              <w:r w:rsidRPr="000B0191">
                <w:t>PLS will engage with the Industry Capabi</w:t>
              </w:r>
              <w:r>
                <w:t>lity Network Western Australia</w:t>
              </w:r>
              <w:r w:rsidR="009421EC">
                <w:t xml:space="preserve"> (</w:t>
              </w:r>
              <w:r w:rsidR="009421EC" w:rsidRPr="001636CE">
                <w:rPr>
                  <w:b/>
                </w:rPr>
                <w:t>ICN</w:t>
              </w:r>
              <w:bookmarkStart w:id="0" w:name="_GoBack"/>
              <w:bookmarkEnd w:id="0"/>
              <w:r w:rsidR="00387773" w:rsidRPr="001636CE">
                <w:rPr>
                  <w:b/>
                </w:rPr>
                <w:t xml:space="preserve"> </w:t>
              </w:r>
              <w:r w:rsidR="009421EC" w:rsidRPr="001636CE">
                <w:rPr>
                  <w:b/>
                </w:rPr>
                <w:t>WA</w:t>
              </w:r>
              <w:r w:rsidR="009421EC">
                <w:t>)</w:t>
              </w:r>
              <w:r w:rsidR="00D929DA">
                <w:t xml:space="preserve">, Pilbara Regional Council, and </w:t>
              </w:r>
              <w:r w:rsidR="00D929DA" w:rsidRPr="000B0191">
                <w:t>Mining and Energy</w:t>
              </w:r>
              <w:r w:rsidR="00D929DA">
                <w:t xml:space="preserve"> Services Council of Australia</w:t>
              </w:r>
              <w:r w:rsidR="00D929DA" w:rsidRPr="000B0191">
                <w:t xml:space="preserve"> </w:t>
              </w:r>
              <w:r w:rsidR="00D929DA">
                <w:t xml:space="preserve">with a view to promoting the Project and </w:t>
              </w:r>
              <w:r w:rsidRPr="000B0191">
                <w:t>identify</w:t>
              </w:r>
              <w:r w:rsidR="00D929DA">
                <w:t>ing</w:t>
              </w:r>
              <w:r w:rsidRPr="000B0191">
                <w:t xml:space="preserve"> capable, competitive Australian industry suitable to supply goods or services </w:t>
              </w:r>
              <w:r w:rsidR="00D929DA">
                <w:t>in respect of the Future Procurement Opportunities</w:t>
              </w:r>
              <w:r>
                <w:t>.</w:t>
              </w:r>
            </w:p>
            <w:p w14:paraId="60DEDC81" w14:textId="1798F8C3" w:rsidR="009421EC" w:rsidRDefault="009421EC" w:rsidP="009421EC">
              <w:pPr>
                <w:pStyle w:val="ListParagraph"/>
              </w:pPr>
              <w:r>
                <w:t>PLS will provide ICN WA with a list of future goods and services in respect of the Future Procurement Opportunities and request that these be listed on the ICN Gateway website.</w:t>
              </w:r>
            </w:p>
            <w:p w14:paraId="60BE34A0" w14:textId="77777777" w:rsidR="00D929DA" w:rsidRDefault="00D929DA" w:rsidP="00D929DA">
              <w:pPr>
                <w:pStyle w:val="ListParagraph"/>
              </w:pPr>
              <w:r w:rsidRPr="00D929DA">
                <w:t>PLS</w:t>
              </w:r>
              <w:r>
                <w:t>’s</w:t>
              </w:r>
              <w:r w:rsidRPr="00D929DA">
                <w:t xml:space="preserve"> website </w:t>
              </w:r>
              <w:r>
                <w:t xml:space="preserve">will continue to be </w:t>
              </w:r>
              <w:r w:rsidRPr="00D929DA">
                <w:t xml:space="preserve">a contact point for Australian suppliers and industry representatives </w:t>
              </w:r>
              <w:r>
                <w:t>and PLS will disclose these contact details in all relevant Project information.</w:t>
              </w:r>
              <w:r w:rsidR="006F4593">
                <w:t xml:space="preserve"> The website will also be used to direct suppliers to the ICN Gateway in respect of Project opportunities available to Australian industry and how suppliers can respond to these opportunities.</w:t>
              </w:r>
            </w:p>
            <w:p w14:paraId="7BF5D050" w14:textId="77777777" w:rsidR="00D929DA" w:rsidRDefault="00D929DA" w:rsidP="00D929DA">
              <w:pPr>
                <w:pStyle w:val="ListParagraph"/>
              </w:pPr>
              <w:r>
                <w:t xml:space="preserve">PLS will directly contact Australian industry via letters, </w:t>
              </w:r>
              <w:proofErr w:type="gramStart"/>
              <w:r>
                <w:t>emails</w:t>
              </w:r>
              <w:proofErr w:type="gramEnd"/>
              <w:r>
                <w:t xml:space="preserve"> or phone calls to invite tender responses or to inform Australian industry about Project opportunities.</w:t>
              </w:r>
            </w:p>
            <w:p w14:paraId="20458660" w14:textId="77777777" w:rsidR="00E45719" w:rsidRPr="00E45719" w:rsidRDefault="00D929DA" w:rsidP="00D929DA">
              <w:pPr>
                <w:pStyle w:val="ListParagraph"/>
              </w:pPr>
              <w:r w:rsidRPr="00D929DA">
                <w:t>PLS will continue to use mainstream media to promote the Project and to highlight opportunities for Australian industry.</w:t>
              </w:r>
            </w:p>
          </w:sdtContent>
        </w:sdt>
        <w:p w14:paraId="2640C75A"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1E2C7D32" w14:textId="77777777" w:rsidR="00D929DA" w:rsidRDefault="00D929DA" w:rsidP="00D929DA">
              <w:pPr>
                <w:pStyle w:val="ListParagraph"/>
              </w:pPr>
              <w:r w:rsidRPr="00D929DA">
                <w:t>The Project will be built to meet applicable Australian, New Zealand and international standards</w:t>
              </w:r>
              <w:r>
                <w:t xml:space="preserve">, which </w:t>
              </w:r>
              <w:r w:rsidRPr="00D929DA">
                <w:t>Australian suppliers will be familiar with and able to meet</w:t>
              </w:r>
              <w:r>
                <w:t>.</w:t>
              </w:r>
            </w:p>
            <w:p w14:paraId="2BCBB52A" w14:textId="09C7A84E" w:rsidR="00D929DA" w:rsidRDefault="00D929DA" w:rsidP="00D929DA">
              <w:pPr>
                <w:pStyle w:val="ListParagraph"/>
              </w:pPr>
              <w:r>
                <w:t xml:space="preserve">PLS will use its formal tender process in respect of the Future Procurement Opportunities. </w:t>
              </w:r>
              <w:r w:rsidRPr="00D929DA">
                <w:t>The time for tender responses will be the same for every bidder and will provide realistic opportunity for all bi</w:t>
              </w:r>
              <w:r w:rsidR="009C0453">
                <w:t>dders to develop their proposal</w:t>
              </w:r>
              <w:r w:rsidRPr="00D929DA">
                <w:t>.</w:t>
              </w:r>
            </w:p>
            <w:p w14:paraId="40F1E978" w14:textId="77777777" w:rsidR="00F85D32" w:rsidRDefault="00D929DA" w:rsidP="00F85D32">
              <w:pPr>
                <w:pStyle w:val="ListParagraph"/>
              </w:pPr>
              <w:r>
                <w:t xml:space="preserve">PLS will assess tenders using </w:t>
              </w:r>
              <w:r w:rsidRPr="00D929DA">
                <w:t>a standardised scoring system that ensures each tender is assessed on its merits and the suppliers’ ability to meet the Project requirements.</w:t>
              </w:r>
            </w:p>
            <w:p w14:paraId="1B9678F0" w14:textId="77777777" w:rsidR="009C0453" w:rsidRDefault="00D929DA" w:rsidP="00F85D32">
              <w:pPr>
                <w:pStyle w:val="ListParagraph"/>
              </w:pPr>
              <w:r>
                <w:t>PLS may use a sole source process in respect of the Future Procurement Opportunities if there is a business case to justify the sole source.</w:t>
              </w:r>
            </w:p>
            <w:p w14:paraId="76AA4894" w14:textId="77777777" w:rsidR="009C0453" w:rsidRDefault="009C0453" w:rsidP="009C0453">
              <w:pPr>
                <w:pStyle w:val="ListParagraph"/>
              </w:pPr>
              <w:r>
                <w:t>PLS will include AIP requirements in tender documents and contractual arrangements in respect of the Future Procurement Opportunities.</w:t>
              </w:r>
            </w:p>
            <w:p w14:paraId="7DAF5B36" w14:textId="77777777" w:rsidR="00F85D32" w:rsidRDefault="009C0453" w:rsidP="00F85D32">
              <w:pPr>
                <w:pStyle w:val="ListParagraph"/>
              </w:pPr>
              <w:r>
                <w:t>PLS will endorse and communicate the AIP Plan and principles on its company website</w:t>
              </w:r>
              <w:r w:rsidRPr="00B403AE">
                <w:t>.</w:t>
              </w:r>
            </w:p>
            <w:p w14:paraId="4B4B13CA" w14:textId="77777777" w:rsidR="009C0453" w:rsidRDefault="009C0453" w:rsidP="00F85D32">
              <w:pPr>
                <w:pStyle w:val="ListParagraph"/>
              </w:pPr>
              <w:r>
                <w:t xml:space="preserve">PLS will provide a copy of the AIP Plan to RCR and the Power Station Contractor and make them aware of PLS’s AIP commitments. </w:t>
              </w:r>
            </w:p>
            <w:p w14:paraId="1A42F8E3" w14:textId="77777777" w:rsidR="00F33D1C" w:rsidRDefault="009C0453" w:rsidP="00F85D32">
              <w:pPr>
                <w:pStyle w:val="ListParagraph"/>
              </w:pPr>
              <w:r>
                <w:t>If requested, PLS will provide feedback to any unsuccessful tenderer in respect of a tender process undertaken by PLS.</w:t>
              </w:r>
            </w:p>
          </w:sdtContent>
        </w:sdt>
        <w:p w14:paraId="1652E167"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049DE418" w14:textId="77777777" w:rsidR="00266FF4" w:rsidRDefault="009C0453" w:rsidP="00266FF4">
              <w:pPr>
                <w:pStyle w:val="ListParagraph"/>
              </w:pPr>
              <w:r w:rsidRPr="009C0453">
                <w:t>PLS will introduce Australian suppliers to other companies (</w:t>
              </w:r>
              <w:proofErr w:type="spellStart"/>
              <w:r w:rsidRPr="009C0453">
                <w:t>eg</w:t>
              </w:r>
              <w:proofErr w:type="spellEnd"/>
              <w:r w:rsidRPr="009C0453">
                <w:t xml:space="preserve"> customers, suppliers) and support overseas demonstrations of suitable Australian industry </w:t>
              </w:r>
              <w:r>
                <w:t>capability for global companies</w:t>
              </w:r>
              <w:r w:rsidRPr="009C0453">
                <w:t>.</w:t>
              </w:r>
            </w:p>
            <w:p w14:paraId="38441E9F" w14:textId="77777777" w:rsidR="009C0453" w:rsidRDefault="009C0453" w:rsidP="00266FF4">
              <w:pPr>
                <w:pStyle w:val="ListParagraph"/>
              </w:pPr>
              <w:r>
                <w:t>PLS will e</w:t>
              </w:r>
              <w:r w:rsidRPr="001F3104">
                <w:t>ncourage adoption of International Organisation for Standardisation (ISO) requirements</w:t>
              </w:r>
              <w:r>
                <w:t>,</w:t>
              </w:r>
              <w:r w:rsidRPr="001F3104">
                <w:t xml:space="preserve"> Occupational </w:t>
              </w:r>
              <w:proofErr w:type="gramStart"/>
              <w:r w:rsidRPr="001F3104">
                <w:t>Health</w:t>
              </w:r>
              <w:proofErr w:type="gramEnd"/>
              <w:r w:rsidRPr="001F3104">
                <w:t xml:space="preserve"> and Safety (OH&amp;S) qualifications</w:t>
              </w:r>
              <w:r>
                <w:t>, and Quality Management standards.</w:t>
              </w:r>
            </w:p>
            <w:p w14:paraId="2857928E" w14:textId="77777777" w:rsidR="009C0453" w:rsidRDefault="009C0453" w:rsidP="009C0453">
              <w:pPr>
                <w:pStyle w:val="ListParagraph"/>
              </w:pPr>
              <w:r>
                <w:t>PLS will u</w:t>
              </w:r>
              <w:r w:rsidRPr="001F3104">
                <w:t>ndertake technical consultation with Australian industry</w:t>
              </w:r>
              <w:r>
                <w:t xml:space="preserve"> if requested</w:t>
              </w:r>
              <w:r w:rsidRPr="001F3104">
                <w:t xml:space="preserve"> to assist in mastering new technologies</w:t>
              </w:r>
              <w:r>
                <w:t>.</w:t>
              </w:r>
            </w:p>
            <w:p w14:paraId="429E0E6E" w14:textId="77777777" w:rsidR="009C0453" w:rsidRDefault="009C0453" w:rsidP="009C0453">
              <w:pPr>
                <w:pStyle w:val="ListParagraph"/>
              </w:pPr>
              <w:r w:rsidRPr="009C0453">
                <w:t>PLS will facilitate strategic partnering and related activities between Australian companies and Australian and international organisations</w:t>
              </w:r>
              <w:r w:rsidR="004B0065">
                <w:t>.</w:t>
              </w:r>
            </w:p>
            <w:p w14:paraId="449C5852" w14:textId="77777777" w:rsidR="00F33D1C" w:rsidRDefault="004B0065" w:rsidP="009C0453">
              <w:pPr>
                <w:pStyle w:val="ListParagraph"/>
              </w:pPr>
              <w:r>
                <w:t xml:space="preserve">If requested, </w:t>
              </w:r>
              <w:r w:rsidR="009C0453" w:rsidRPr="009C0453">
                <w:t>PLS will provide feedback to successful Australia</w:t>
              </w:r>
              <w:r>
                <w:t>n suppliers used in the Project</w:t>
              </w:r>
              <w:r w:rsidR="009C0453" w:rsidRPr="009C0453">
                <w:t xml:space="preserve">. </w:t>
              </w:r>
            </w:p>
          </w:sdtContent>
        </w:sdt>
        <w:p w14:paraId="3CF50AC5"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1FAAFE43" w14:textId="77777777" w:rsidR="00D60A56" w:rsidRDefault="004B0065" w:rsidP="004B0065">
              <w:pPr>
                <w:pStyle w:val="ListParagraph"/>
              </w:pPr>
              <w:r>
                <w:t>PLS’s AIP officer will have overall responsibility for implementation, monitoring, and reporting in respect of the AIP Plan.</w:t>
              </w:r>
            </w:p>
          </w:sdtContent>
        </w:sdt>
      </w:sdtContent>
    </w:sdt>
    <w:p w14:paraId="7DE909E2" w14:textId="77777777" w:rsidR="00F81BD2" w:rsidRPr="004B0065" w:rsidRDefault="00F81BD2" w:rsidP="004B0065">
      <w:pPr>
        <w:pStyle w:val="ListParagraph"/>
      </w:pPr>
      <w:r>
        <w:t xml:space="preserve">PLS will develop systems to monitor and report on the implementation of the AIP Plan. </w:t>
      </w:r>
    </w:p>
    <w:sectPr w:rsidR="00F81BD2" w:rsidRPr="004B006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A4D57" w14:textId="77777777" w:rsidR="004B0065" w:rsidRDefault="004B0065" w:rsidP="007F331A">
      <w:pPr>
        <w:spacing w:after="0"/>
      </w:pPr>
      <w:r>
        <w:separator/>
      </w:r>
    </w:p>
  </w:endnote>
  <w:endnote w:type="continuationSeparator" w:id="0">
    <w:p w14:paraId="05201030" w14:textId="77777777" w:rsidR="004B0065" w:rsidRDefault="004B0065"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FC14" w14:textId="77777777" w:rsidR="004B0065" w:rsidRDefault="004B0065" w:rsidP="007F331A">
    <w:pPr>
      <w:pStyle w:val="Footnote"/>
    </w:pPr>
    <w:r>
      <w:t xml:space="preserve">Department of Industry, </w:t>
    </w:r>
    <w:proofErr w:type="gramStart"/>
    <w:r>
      <w:t>Innovation</w:t>
    </w:r>
    <w:proofErr w:type="gramEnd"/>
    <w:r>
      <w:t xml:space="preserve"> and Science</w:t>
    </w:r>
  </w:p>
  <w:p w14:paraId="4DB845A2" w14:textId="77777777" w:rsidR="004B0065" w:rsidRDefault="004B0065" w:rsidP="007F331A">
    <w:pPr>
      <w:pStyle w:val="Footnote"/>
    </w:pPr>
    <w:r>
      <w:t>AIP Plan Executive Summary</w:t>
    </w:r>
  </w:p>
  <w:p w14:paraId="315444CC" w14:textId="77777777" w:rsidR="004B0065" w:rsidRDefault="004B0065" w:rsidP="007F331A">
    <w:pPr>
      <w:pStyle w:val="Footnote"/>
    </w:pPr>
    <w:r>
      <w:t>Version 3.3 September 2015</w:t>
    </w:r>
  </w:p>
  <w:p w14:paraId="08E02400" w14:textId="42CE23C7" w:rsidR="004B0065" w:rsidRPr="002032CF" w:rsidRDefault="008457FB"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4B0065" w:rsidRPr="007F331A">
          <w:rPr>
            <w:sz w:val="16"/>
            <w:szCs w:val="16"/>
          </w:rPr>
          <w:fldChar w:fldCharType="begin"/>
        </w:r>
        <w:r w:rsidR="004B0065" w:rsidRPr="007F331A">
          <w:rPr>
            <w:sz w:val="16"/>
            <w:szCs w:val="16"/>
          </w:rPr>
          <w:instrText xml:space="preserve"> PAGE   \* MERGEFORMAT </w:instrText>
        </w:r>
        <w:r w:rsidR="004B0065" w:rsidRPr="007F331A">
          <w:rPr>
            <w:sz w:val="16"/>
            <w:szCs w:val="16"/>
          </w:rPr>
          <w:fldChar w:fldCharType="separate"/>
        </w:r>
        <w:r>
          <w:rPr>
            <w:noProof/>
            <w:sz w:val="16"/>
            <w:szCs w:val="16"/>
          </w:rPr>
          <w:t>3</w:t>
        </w:r>
        <w:r w:rsidR="004B0065" w:rsidRPr="007F331A">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0787E" w14:textId="77777777" w:rsidR="004B0065" w:rsidRDefault="004B0065" w:rsidP="007F331A">
      <w:pPr>
        <w:spacing w:after="0"/>
      </w:pPr>
      <w:r>
        <w:separator/>
      </w:r>
    </w:p>
  </w:footnote>
  <w:footnote w:type="continuationSeparator" w:id="0">
    <w:p w14:paraId="7ADF1C0B" w14:textId="77777777" w:rsidR="004B0065" w:rsidRDefault="004B0065"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1F2A89"/>
    <w:multiLevelType w:val="hybridMultilevel"/>
    <w:tmpl w:val="1104350C"/>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38B5228"/>
    <w:multiLevelType w:val="hybridMultilevel"/>
    <w:tmpl w:val="C09E251E"/>
    <w:lvl w:ilvl="0" w:tplc="63F638EE">
      <w:start w:val="1"/>
      <w:numFmt w:val="bullet"/>
      <w:lvlText w:val=""/>
      <w:lvlJc w:val="left"/>
      <w:pPr>
        <w:ind w:left="72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33049"/>
    <w:rsid w:val="00065C50"/>
    <w:rsid w:val="000846F2"/>
    <w:rsid w:val="000A6D6D"/>
    <w:rsid w:val="000B0191"/>
    <w:rsid w:val="000F1764"/>
    <w:rsid w:val="00130956"/>
    <w:rsid w:val="00142AAC"/>
    <w:rsid w:val="00151F87"/>
    <w:rsid w:val="001636CE"/>
    <w:rsid w:val="001964CB"/>
    <w:rsid w:val="002032CF"/>
    <w:rsid w:val="00244FC4"/>
    <w:rsid w:val="00266FF4"/>
    <w:rsid w:val="00281732"/>
    <w:rsid w:val="002B4935"/>
    <w:rsid w:val="002D0C17"/>
    <w:rsid w:val="00334757"/>
    <w:rsid w:val="0038130E"/>
    <w:rsid w:val="00387773"/>
    <w:rsid w:val="003B0746"/>
    <w:rsid w:val="003D3CE6"/>
    <w:rsid w:val="003F68D5"/>
    <w:rsid w:val="00412EDE"/>
    <w:rsid w:val="004279CD"/>
    <w:rsid w:val="00431963"/>
    <w:rsid w:val="00441FDB"/>
    <w:rsid w:val="00464BF1"/>
    <w:rsid w:val="00496B00"/>
    <w:rsid w:val="004A658C"/>
    <w:rsid w:val="004B0065"/>
    <w:rsid w:val="00515E17"/>
    <w:rsid w:val="0057513A"/>
    <w:rsid w:val="00632568"/>
    <w:rsid w:val="006C404E"/>
    <w:rsid w:val="006F4593"/>
    <w:rsid w:val="0072274C"/>
    <w:rsid w:val="007F331A"/>
    <w:rsid w:val="008457FB"/>
    <w:rsid w:val="00907971"/>
    <w:rsid w:val="009421EC"/>
    <w:rsid w:val="00943103"/>
    <w:rsid w:val="00945B6E"/>
    <w:rsid w:val="0098513A"/>
    <w:rsid w:val="009C0453"/>
    <w:rsid w:val="009C3EAC"/>
    <w:rsid w:val="00A14428"/>
    <w:rsid w:val="00A5285B"/>
    <w:rsid w:val="00AB26CD"/>
    <w:rsid w:val="00AF7278"/>
    <w:rsid w:val="00B463AA"/>
    <w:rsid w:val="00B8549A"/>
    <w:rsid w:val="00B96882"/>
    <w:rsid w:val="00BB702E"/>
    <w:rsid w:val="00BC5523"/>
    <w:rsid w:val="00BE6541"/>
    <w:rsid w:val="00C720AA"/>
    <w:rsid w:val="00CE2084"/>
    <w:rsid w:val="00D544CB"/>
    <w:rsid w:val="00D60A56"/>
    <w:rsid w:val="00D929DA"/>
    <w:rsid w:val="00DB097E"/>
    <w:rsid w:val="00DE5045"/>
    <w:rsid w:val="00E013A9"/>
    <w:rsid w:val="00E20C9B"/>
    <w:rsid w:val="00E24C5C"/>
    <w:rsid w:val="00E45719"/>
    <w:rsid w:val="00F33D1C"/>
    <w:rsid w:val="00F81BD2"/>
    <w:rsid w:val="00F85D32"/>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F69703"/>
  <w15:docId w15:val="{0580ED28-9652-4A94-8CE0-24EC84F5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link w:val="ListParagraphChar"/>
    <w:uiPriority w:val="72"/>
    <w:qFormat/>
    <w:rsid w:val="00F33D1C"/>
    <w:pPr>
      <w:numPr>
        <w:numId w:val="1"/>
      </w:numPr>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paragraph" w:customStyle="1" w:styleId="PilbrowBodyText">
    <w:name w:val="Pilbrow Body Text"/>
    <w:semiHidden/>
    <w:locked/>
    <w:rsid w:val="00D929DA"/>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D929DA"/>
    <w:pPr>
      <w:numPr>
        <w:numId w:val="3"/>
      </w:numPr>
      <w:spacing w:before="120" w:after="200"/>
    </w:pPr>
    <w:rPr>
      <w:rFonts w:ascii="Calibri" w:hAnsi="Calibri"/>
      <w:color w:val="333333"/>
      <w:sz w:val="22"/>
      <w:szCs w:val="24"/>
      <w:lang w:eastAsia="en-US"/>
    </w:rPr>
  </w:style>
  <w:style w:type="character" w:styleId="Hyperlink">
    <w:name w:val="Hyperlink"/>
    <w:basedOn w:val="DefaultParagraphFont"/>
    <w:uiPriority w:val="99"/>
    <w:unhideWhenUsed/>
    <w:rsid w:val="004B0065"/>
    <w:rPr>
      <w:color w:val="0000FF" w:themeColor="hyperlink"/>
      <w:u w:val="single"/>
    </w:rPr>
  </w:style>
  <w:style w:type="character" w:customStyle="1" w:styleId="UnresolvedMention1">
    <w:name w:val="Unresolved Mention1"/>
    <w:basedOn w:val="DefaultParagraphFont"/>
    <w:uiPriority w:val="99"/>
    <w:semiHidden/>
    <w:unhideWhenUsed/>
    <w:rsid w:val="004B0065"/>
    <w:rPr>
      <w:color w:val="808080"/>
      <w:shd w:val="clear" w:color="auto" w:fill="E6E6E6"/>
    </w:rPr>
  </w:style>
  <w:style w:type="character" w:customStyle="1" w:styleId="ListParagraphChar">
    <w:name w:val="List Paragraph Char"/>
    <w:basedOn w:val="DefaultParagraphFont"/>
    <w:link w:val="ListParagraph"/>
    <w:uiPriority w:val="72"/>
    <w:rsid w:val="000A6D6D"/>
    <w:rPr>
      <w:rFonts w:ascii="Arial" w:hAnsi="Arial"/>
    </w:rPr>
  </w:style>
  <w:style w:type="character" w:styleId="UnresolvedMention">
    <w:name w:val="Unresolved Mention"/>
    <w:basedOn w:val="DefaultParagraphFont"/>
    <w:uiPriority w:val="99"/>
    <w:semiHidden/>
    <w:unhideWhenUsed/>
    <w:rsid w:val="00CE20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92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pls@rcrtom.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henderson@pilbaraminerals.com.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lbaraminerals.com.au/site/our-business/pilgangoora-lithium-tantalum-proje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14" Type="http://schemas.openxmlformats.org/officeDocument/2006/relationships/hyperlink" Target="mailto:cpma@contractpower.com.au" TargetMode="Externa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9C700D">
          <w:pPr>
            <w:pStyle w:val="AD73DB9D7E324E3186F15BE2264B0091"/>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9C700D">
          <w:pPr>
            <w:pStyle w:val="37E3051ACA004B479418465069F77C1D"/>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9C700D">
          <w:pPr>
            <w:pStyle w:val="F8CFB959B0A04A1CAC8504EAB4955194"/>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9C700D">
          <w:pPr>
            <w:pStyle w:val="70EF713EA7A5467DBA89C005FDA61B45"/>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9C700D">
          <w:pPr>
            <w:pStyle w:val="DA10A35400CA46009E74A29DCD6179A2"/>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B56BA666558B49F8B855AE4B20EA6C38"/>
        <w:category>
          <w:name w:val="General"/>
          <w:gallery w:val="placeholder"/>
        </w:category>
        <w:types>
          <w:type w:val="bbPlcHdr"/>
        </w:types>
        <w:behaviors>
          <w:behavior w:val="content"/>
        </w:behaviors>
        <w:guid w:val="{C68B03FC-1C8A-4781-B2B5-B0AF23F8D52B}"/>
      </w:docPartPr>
      <w:docPartBody>
        <w:p w:rsidR="001C55A4" w:rsidRDefault="009C700D">
          <w:pPr>
            <w:pStyle w:val="B56BA666558B49F8B855AE4B20EA6C38"/>
          </w:pPr>
          <w:r>
            <w:rPr>
              <w:rStyle w:val="PlaceholderText"/>
            </w:rPr>
            <w:t>Provide an indication of opportunities available for Australian and overseas industry to supply goods and services to the project. Please add extra rows as required.</w:t>
          </w:r>
        </w:p>
      </w:docPartBody>
    </w:docPart>
    <w:docPart>
      <w:docPartPr>
        <w:name w:val="A0F9DC13668A44099383AE743A0BC14A"/>
        <w:category>
          <w:name w:val="General"/>
          <w:gallery w:val="placeholder"/>
        </w:category>
        <w:types>
          <w:type w:val="bbPlcHdr"/>
        </w:types>
        <w:behaviors>
          <w:behavior w:val="content"/>
        </w:behaviors>
        <w:guid w:val="{57465606-A864-4E5F-8DBF-CC320906A11D}"/>
      </w:docPartPr>
      <w:docPartBody>
        <w:p w:rsidR="001C55A4" w:rsidRDefault="009C700D">
          <w:pPr>
            <w:pStyle w:val="A0F9DC13668A44099383AE743A0BC14A"/>
          </w:pPr>
          <w:r>
            <w:rPr>
              <w:rStyle w:val="PlaceholderText"/>
            </w:rPr>
            <w:t>Yes/No</w:t>
          </w:r>
        </w:p>
      </w:docPartBody>
    </w:docPart>
    <w:docPart>
      <w:docPartPr>
        <w:name w:val="AFC4747282A0402CA16004305193CC4E"/>
        <w:category>
          <w:name w:val="General"/>
          <w:gallery w:val="placeholder"/>
        </w:category>
        <w:types>
          <w:type w:val="bbPlcHdr"/>
        </w:types>
        <w:behaviors>
          <w:behavior w:val="content"/>
        </w:behaviors>
        <w:guid w:val="{D48049E3-54B2-4874-9827-D16A32036EFA}"/>
      </w:docPartPr>
      <w:docPartBody>
        <w:p w:rsidR="001C55A4" w:rsidRDefault="009C700D">
          <w:pPr>
            <w:pStyle w:val="AFC4747282A0402CA16004305193CC4E"/>
          </w:pPr>
          <w:r>
            <w:rPr>
              <w:rStyle w:val="PlaceholderText"/>
            </w:rPr>
            <w:t>Yes/No</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9C700D">
          <w:pPr>
            <w:pStyle w:val="64CF48C855E445B9ABF8A73251E35A5F"/>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9C700D">
          <w:pPr>
            <w:pStyle w:val="A0543810C72B43C181B02CE4FAA96DEC"/>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9C700D">
          <w:pPr>
            <w:pStyle w:val="6C2CD4AC58584EEB8548E5FD9AFACE07"/>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9C700D">
          <w:pPr>
            <w:pStyle w:val="AC27FE5B46524048B1E2D671E94AC235"/>
          </w:pPr>
          <w:r>
            <w:rPr>
              <w:rStyle w:val="PlaceholderText"/>
            </w:rPr>
            <w:t>Provide a summary of the procedures and resources the company will put in place to effectively implement and monitor the outcomes of the AIP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81AD3"/>
    <w:rsid w:val="001C55A4"/>
    <w:rsid w:val="002E6C11"/>
    <w:rsid w:val="009C700D"/>
    <w:rsid w:val="00F74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2E6C11"/>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5EAC60830D024D18A1FCE22DCED546F9">
    <w:name w:val="5EAC60830D024D18A1FCE22DCED546F9"/>
    <w:rsid w:val="002E6C1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Mallinson, Christine</DisplayName>
        <AccountId>798</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B433E-BD84-4A62-9137-D24D7CFB2377}"/>
</file>

<file path=customXml/itemProps2.xml><?xml version="1.0" encoding="utf-8"?>
<ds:datastoreItem xmlns:ds="http://schemas.openxmlformats.org/officeDocument/2006/customXml" ds:itemID="{38EB93DA-3A9F-4B29-918B-303A8F400BD0}"/>
</file>

<file path=customXml/itemProps3.xml><?xml version="1.0" encoding="utf-8"?>
<ds:datastoreItem xmlns:ds="http://schemas.openxmlformats.org/officeDocument/2006/customXml" ds:itemID="{D92C2552-5BA9-435B-97BF-908E1C63BA1B}"/>
</file>

<file path=customXml/itemProps4.xml><?xml version="1.0" encoding="utf-8"?>
<ds:datastoreItem xmlns:ds="http://schemas.openxmlformats.org/officeDocument/2006/customXml" ds:itemID="{B3FB433E-BD84-4A62-9137-D24D7CFB2377}">
  <ds:schemaRefs>
    <ds:schemaRef ds:uri="http://schemas.openxmlformats.org/officeDocument/2006/bibliography"/>
  </ds:schemaRefs>
</ds:datastoreItem>
</file>

<file path=customXml/itemProps5.xml><?xml version="1.0" encoding="utf-8"?>
<ds:datastoreItem xmlns:ds="http://schemas.openxmlformats.org/officeDocument/2006/customXml" ds:itemID="{E01513EF-5E3B-4499-A4EF-6EF2186C3C7F}"/>
</file>

<file path=docProps/app.xml><?xml version="1.0" encoding="utf-8"?>
<Properties xmlns="http://schemas.openxmlformats.org/officeDocument/2006/extended-properties" xmlns:vt="http://schemas.openxmlformats.org/officeDocument/2006/docPropsVTypes">
  <Template>Normal</Template>
  <TotalTime>86</TotalTime>
  <Pages>3</Pages>
  <Words>1293</Words>
  <Characters>7733</Characters>
  <Application>Microsoft Office Word</Application>
  <DocSecurity>0</DocSecurity>
  <Lines>184</Lines>
  <Paragraphs>99</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Natalie Drew</cp:lastModifiedBy>
  <cp:revision>26</cp:revision>
  <cp:lastPrinted>2017-09-08T02:28:00Z</cp:lastPrinted>
  <dcterms:created xsi:type="dcterms:W3CDTF">2017-09-10T23:48:00Z</dcterms:created>
  <dcterms:modified xsi:type="dcterms:W3CDTF">2017-09-11T06:30:00Z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_dlc_DocIdItemGuid">
    <vt:lpwstr>8624cf65-0a06-4fda-9320-e8900acccb46</vt:lpwstr>
  </property>
  <property fmtid="{D5CDD505-2E9C-101B-9397-08002B2CF9AE}" pid="8" name="DocHub_Year">
    <vt:lpwstr/>
  </property>
  <property fmtid="{D5CDD505-2E9C-101B-9397-08002B2CF9AE}" pid="9" name="DocHub_DocStatus">
    <vt:lpwstr>426;#Final|46e4187b-f204-4589-bbeb-a903d185cdad</vt:lpwstr>
  </property>
  <property fmtid="{D5CDD505-2E9C-101B-9397-08002B2CF9AE}" pid="10" name="DocHub_ProjectProponent">
    <vt:lpwstr/>
  </property>
  <property fmtid="{D5CDD505-2E9C-101B-9397-08002B2CF9AE}" pid="11" name="DocHub_DocumentType">
    <vt:lpwstr>233;#Executive Summary|67166ce2-6da7-40d0-8019-f7580244f8f4</vt:lpwstr>
  </property>
  <property fmtid="{D5CDD505-2E9C-101B-9397-08002B2CF9AE}" pid="12" name="DocHub_SecurityClassification">
    <vt:lpwstr>25;#For Official Use Only|11f6fb0b-52ce-4109-8f7f-521b2a62f692</vt:lpwstr>
  </property>
  <property fmtid="{D5CDD505-2E9C-101B-9397-08002B2CF9AE}" pid="13" name="DocHub_GovernmentEntities">
    <vt:lpwstr/>
  </property>
  <property fmtid="{D5CDD505-2E9C-101B-9397-08002B2CF9AE}" pid="14" name="DocHub_AIPProcess">
    <vt:lpwstr>416;#AIP Plan|d6d5fd09-436e-444c-a5de-746217f86c54</vt:lpwstr>
  </property>
  <property fmtid="{D5CDD505-2E9C-101B-9397-08002B2CF9AE}" pid="15" name="DocHub_Sector">
    <vt:lpwstr/>
  </property>
  <property fmtid="{D5CDD505-2E9C-101B-9397-08002B2CF9AE}" pid="16" name="DocHub_BriefingCorrespondenceType">
    <vt:lpwstr/>
  </property>
  <property fmtid="{D5CDD505-2E9C-101B-9397-08002B2CF9AE}" pid="17" name="DocHub_WorkActivity">
    <vt:lpwstr/>
  </property>
  <property fmtid="{D5CDD505-2E9C-101B-9397-08002B2CF9AE}" pid="18" name="DocHub_Keywords">
    <vt:lpwstr/>
  </property>
  <property fmtid="{D5CDD505-2E9C-101B-9397-08002B2CF9AE}" pid="19" name="DocHub_AIPCategory">
    <vt:lpwstr/>
  </property>
</Properties>
</file>