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 w:after="1245" w:line="188"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Wed Jun 08 2022 12:47:24 GMT+1 000 (AEST) *****</w:t>
      </w:r>
    </w:p>
    <w:p>
      <w:pPr>
        <w:spacing w:before="3" w:after="1245" w:line="188" w:lineRule="exact"/>
        <w:sectPr>
          <w:type w:val="nextPage"/>
          <w:pgSz w:w="11904" w:h="16843" w:orient="portrait"/>
          <w:pgMar w:bottom="867" w:top="1040" w:right="847" w:left="557" w:header="720" w:footer="720"/>
          <w:titlePg w:val="false"/>
          <w:textDirection w:val="lrTb"/>
        </w:sectPr>
      </w:pPr>
    </w:p>
    <w:p>
      <w:pPr>
        <w:spacing w:before="0" w:after="153" w:line="240" w:lineRule="auto"/>
        <w:ind w:right="4025" w:left="3629"/>
        <w:jc w:val="left"/>
        <w:textAlignment w:val="baseline"/>
      </w:pPr>
      <w:r>
        <w:drawing>
          <wp:inline>
            <wp:extent cx="1807210" cy="21590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07210" cy="215900"/>
                    </a:xfrm>
                    <a:prstGeom prst="rect"/>
                  </pic:spPr>
                </pic:pic>
              </a:graphicData>
            </a:graphic>
          </wp:inline>
        </w:drawing>
      </w:r>
    </w:p>
    <w:p>
      <w:pPr>
        <w:spacing w:before="0" w:after="344" w:line="396" w:lineRule="exact"/>
        <w:ind w:right="0" w:left="0" w:firstLine="0"/>
        <w:jc w:val="center"/>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Australian Jobs Act 2013</w:t>
      </w:r>
    </w:p>
    <w:p>
      <w:pPr>
        <w:spacing w:before="473" w:after="75" w:line="398" w:lineRule="exact"/>
        <w:ind w:right="0" w:left="0" w:firstLine="0"/>
        <w:jc w:val="center"/>
        <w:textAlignment w:val="baseline"/>
        <w:rPr>
          <w:rFonts w:ascii="Arial" w:hAnsi="Arial" w:eastAsia="Arial"/>
          <w:color w:val="000000"/>
          <w:spacing w:val="7"/>
          <w:w w:val="95"/>
          <w:sz w:val="34"/>
          <w:vertAlign w:val="baseline"/>
          <w:lang w:val="en-US"/>
        </w:rPr>
      </w:pPr>
      <w:r>
        <w:pict>
          <v:line strokeweight="3.35pt" strokecolor="#347C87" from="27.85pt,187.7pt" to="552.9pt,187.7pt" style="position:absolute;mso-position-horizontal-relative:page;mso-position-vertical-relative:page;">
            <v:stroke dashstyle="solid"/>
          </v:line>
        </w:pict>
      </w:r>
      <w:r>
        <w:rPr>
          <w:rFonts w:ascii="Arial" w:hAnsi="Arial" w:eastAsia="Arial"/>
          <w:color w:val="000000"/>
          <w:spacing w:val="7"/>
          <w:w w:val="95"/>
          <w:sz w:val="34"/>
          <w:vertAlign w:val="baseline"/>
          <w:lang w:val="en-US"/>
        </w:rPr>
        <w:t xml:space="preserve">Australian Industry Participation Plan Summary - Project Phase</w:t>
      </w:r>
    </w:p>
    <w:p>
      <w:pPr>
        <w:spacing w:before="123" w:after="0" w:line="187" w:lineRule="exact"/>
        <w:ind w:right="0" w:left="288" w:firstLine="0"/>
        <w:jc w:val="left"/>
        <w:textAlignment w:val="baseline"/>
        <w:rPr>
          <w:rFonts w:ascii="Arial" w:hAnsi="Arial" w:eastAsia="Arial"/>
          <w:b w:val="true"/>
          <w:color w:val="000000"/>
          <w:spacing w:val="-1"/>
          <w:w w:val="100"/>
          <w:sz w:val="16"/>
          <w:vertAlign w:val="baseline"/>
          <w:lang w:val="en-US"/>
        </w:rPr>
      </w:pPr>
      <w:r>
        <w:pict>
          <v:line strokeweight="1.2pt" strokecolor="#000000" from="43.9pt,234.5pt" to="538.15pt,234.5pt" style="position:absolute;mso-position-horizontal-relative:page;mso-position-vertical-relative:page;">
            <v:stroke dashstyle="solid"/>
          </v:line>
        </w:pict>
      </w:r>
      <w:r>
        <w:rPr>
          <w:rFonts w:ascii="Arial" w:hAnsi="Arial" w:eastAsia="Arial"/>
          <w:b w:val="true"/>
          <w:color w:val="000000"/>
          <w:spacing w:val="-1"/>
          <w:w w:val="100"/>
          <w:sz w:val="16"/>
          <w:vertAlign w:val="baseline"/>
          <w:lang w:val="en-US"/>
        </w:rPr>
        <w:t xml:space="preserve">Nominated project proponent: </w:t>
      </w:r>
      <w:r>
        <w:rPr>
          <w:rFonts w:ascii="Arial" w:hAnsi="Arial" w:eastAsia="Arial"/>
          <w:color w:val="000000"/>
          <w:spacing w:val="-1"/>
          <w:w w:val="100"/>
          <w:sz w:val="16"/>
          <w:vertAlign w:val="baseline"/>
          <w:lang w:val="en-US"/>
        </w:rPr>
        <w:t xml:space="preserve">HILLS OF GOLD WIND FARM PTY LIMITED</w:t>
      </w:r>
    </w:p>
    <w:p>
      <w:pPr>
        <w:spacing w:before="348" w:after="0" w:line="398" w:lineRule="exact"/>
        <w:ind w:right="0" w:left="504" w:firstLine="0"/>
        <w:jc w:val="left"/>
        <w:textAlignment w:val="baseline"/>
        <w:rPr>
          <w:rFonts w:ascii="Arial" w:hAnsi="Arial" w:eastAsia="Arial"/>
          <w:color w:val="000000"/>
          <w:spacing w:val="3"/>
          <w:w w:val="95"/>
          <w:sz w:val="34"/>
          <w:vertAlign w:val="baseline"/>
          <w:lang w:val="en-US"/>
        </w:rPr>
      </w:pPr>
      <w:r>
        <w:rPr>
          <w:rFonts w:ascii="Arial" w:hAnsi="Arial" w:eastAsia="Arial"/>
          <w:color w:val="000000"/>
          <w:spacing w:val="3"/>
          <w:w w:val="95"/>
          <w:sz w:val="34"/>
          <w:vertAlign w:val="baseline"/>
          <w:lang w:val="en-US"/>
        </w:rPr>
        <w:t xml:space="preserve">Project details</w:t>
      </w:r>
    </w:p>
    <w:p>
      <w:pPr>
        <w:spacing w:before="207" w:after="0" w:line="328" w:lineRule="exact"/>
        <w:ind w:right="0" w:left="50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Name: Hills of Gold Wind Farm</w:t>
        <w:br/>
      </w:r>
      <w:r>
        <w:rPr>
          <w:rFonts w:ascii="Arial" w:hAnsi="Arial" w:eastAsia="Arial"/>
          <w:color w:val="000000"/>
          <w:spacing w:val="0"/>
          <w:w w:val="100"/>
          <w:sz w:val="16"/>
          <w:vertAlign w:val="baseline"/>
          <w:lang w:val="en-US"/>
        </w:rPr>
        <w:t xml:space="preserve">Location: Hanging Rock, NSW</w:t>
        <w:br/>
      </w:r>
      <w:r>
        <w:rPr>
          <w:rFonts w:ascii="Arial" w:hAnsi="Arial" w:eastAsia="Arial"/>
          <w:color w:val="000000"/>
          <w:spacing w:val="0"/>
          <w:w w:val="100"/>
          <w:sz w:val="16"/>
          <w:vertAlign w:val="baseline"/>
          <w:lang w:val="en-US"/>
        </w:rPr>
        <w:t xml:space="preserve">Type: Electricity facility</w:t>
      </w:r>
    </w:p>
    <w:p>
      <w:pPr>
        <w:spacing w:before="19" w:after="0" w:line="322" w:lineRule="exact"/>
        <w:ind w:right="0" w:left="50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Purpose: Establish new facility</w:t>
        <w:br/>
      </w:r>
      <w:r>
        <w:rPr>
          <w:rFonts w:ascii="Arial" w:hAnsi="Arial" w:eastAsia="Arial"/>
          <w:color w:val="000000"/>
          <w:spacing w:val="0"/>
          <w:w w:val="100"/>
          <w:sz w:val="16"/>
          <w:vertAlign w:val="baseline"/>
          <w:lang w:val="en-US"/>
        </w:rPr>
        <w:t xml:space="preserve">Capital expenditure: $ 750,000,000</w:t>
      </w:r>
    </w:p>
    <w:p>
      <w:pPr>
        <w:spacing w:before="117" w:after="0" w:line="220" w:lineRule="exact"/>
        <w:ind w:right="576"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Description: The Hills of Gold Wind Farm is a proposed wind farm located approximately 5km south of Hanging Rock and 8km south-east of Nundle, NSW, which is intended to consist of up to 65 Wind Turbine Generators (WTGs) and associated balance of plant (BOP) and have an energy generating capacity of up to 400MW (the Project). It will connect to the national electricity grid via new substation and switchyard assets connecting to Transgrid’s 330kV ‘3J’ transmission line that runs from Liddell to Tamworth. The project will be delivered via an Engineering, Procurement &amp; Construction (EPC) contract with a WTG supplier (design, engineering, supply, construction, installation, testing, and commissioning of the WTGs) and also a separate large construction contractor consisting of the design, engineering, supply, construction, installation, testing of the associated civil and electrical Balance Of Plant (BOP). Both Contractors are known as Prime Contractors in this AIP. All key goods and services will be undertaken by these two Prime Contractors. The Prime Contractors will be contractually obliged to comply with the AIP. The BOP scope - roads, hardstands, foundations, underground &amp; overhead transmission lines, and substations. An Operations &amp; Maintenance (O&amp;M) Agreement will also be signed with the WTG supplier to maintain the wind farm throughout its operation life. Hills of Gold will be the managing entity. A Connection Services Agreement will be signed with Transgrid to design, construct, and maintain the grid connection assets (i.e. high-voltage transmission line cut-in switchyard) at the point of grid connection located in site. The timeline for the appointment of the Prime Contractors is July 2022 - Appointment of WTG (Construction and Operations), September 2022 - Appointment of BOP July &amp; Sept 2022 - ICN Website Activations by Prime Contractors July &amp; Sept 2022-Commencement of WTG Procurement &amp; BOP Procurement Dec 2022 - Contract sign off with each Prime Contractor</w:t>
      </w:r>
    </w:p>
    <w:p>
      <w:pPr>
        <w:spacing w:before="137" w:after="3981" w:line="185" w:lineRule="exact"/>
        <w:ind w:right="0"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Completion date: 31 May 2025</w:t>
      </w:r>
    </w:p>
    <w:p>
      <w:pPr>
        <w:spacing w:before="137" w:after="3981" w:line="185" w:lineRule="exact"/>
        <w:sectPr>
          <w:type w:val="continuous"/>
          <w:pgSz w:w="11904" w:h="16843" w:orient="portrait"/>
          <w:pgMar w:bottom="867" w:top="1040" w:right="847" w:left="557"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1 of 5</w:t>
      </w:r>
    </w:p>
    <w:p>
      <w:pPr>
        <w:sectPr>
          <w:type w:val="continuous"/>
          <w:pgSz w:w="11904" w:h="16843" w:orient="portrait"/>
          <w:pgMar w:bottom="867" w:top="1040" w:right="1026" w:left="9778"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441pt;height:50.25pt;z-index:-1000;margin-left:52.1pt;margin-top:52pt;mso-wrap-distance-left:0pt;mso-wrap-distance-right:0pt;mso-position-horizontal-relative:page;mso-position-vertical-relative:page">
            <w10:wrap type="square" side="both"/>
            <v:fill opacity="1" o:opacity2="1" recolor="f" rotate="f" type="solid"/>
            <v:textbox inset="0pt, 0pt, 0pt, 0pt">
              <w:txbxContent>
                <w:p>
                  <w:pPr>
                    <w:spacing w:before="3" w:after="813" w:line="188"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Wed Jun 08 2022 12:47:24 GMT+1 000 (AEST) *****</w:t>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441pt;height:89.7pt;z-index:-999;margin-left:52.1pt;margin-top:102.2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5944"/>
                    <w:gridCol w:w="2876"/>
                  </w:tblGrid>
                  <w:tr>
                    <w:trPr>
                      <w:trHeight w:val="1794" w:hRule="exact"/>
                    </w:trPr>
                    <w:tc>
                      <w:tcPr>
                        <w:tcW w:w="5944" w:type="dxa"/>
                        <w:tcBorders>
                          <w:top w:val="none"/>
                          <w:left w:val="none"/>
                          <w:bottom w:val="none"/>
                          <w:right w:val="none"/>
                        </w:tcBorders>
                        <w:textDirection w:val="lrTb"/>
                        <w:vAlign w:val="top"/>
                      </w:tcPr>
                      <w:p>
                        <w:pPr>
                          <w:spacing w:before="0" w:after="0" w:line="399" w:lineRule="exact"/>
                          <w:ind w:right="0" w:left="0" w:firstLine="0"/>
                          <w:jc w:val="left"/>
                          <w:textAlignment w:val="baseline"/>
                          <w:rPr>
                            <w:rFonts w:ascii="Arial" w:hAnsi="Arial" w:eastAsia="Arial"/>
                            <w:color w:val="000000"/>
                            <w:spacing w:val="0"/>
                            <w:w w:val="95"/>
                            <w:sz w:val="35"/>
                            <w:vertAlign w:val="baseline"/>
                            <w:lang w:val="en-US"/>
                          </w:rPr>
                        </w:pPr>
                        <w:r>
                          <w:rPr>
                            <w:rFonts w:ascii="Arial" w:hAnsi="Arial" w:eastAsia="Arial"/>
                            <w:color w:val="000000"/>
                            <w:spacing w:val="0"/>
                            <w:w w:val="95"/>
                            <w:sz w:val="35"/>
                            <w:vertAlign w:val="baseline"/>
                            <w:lang w:val="en-US"/>
                          </w:rPr>
                          <w:t xml:space="preserve">Key goods and services</w:t>
                        </w:r>
                      </w:p>
                      <w:p>
                        <w:pPr>
                          <w:spacing w:before="349"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Indicative list of key goods and services to be acquired for the project:</w:t>
                        </w:r>
                      </w:p>
                      <w:p>
                        <w:pPr>
                          <w:spacing w:before="191" w:after="0" w:line="145" w:lineRule="exact"/>
                          <w:ind w:right="156" w:left="0" w:firstLine="0"/>
                          <w:jc w:val="righ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Opportunities for</w:t>
                        </w:r>
                      </w:p>
                      <w:p>
                        <w:pPr>
                          <w:spacing w:before="0" w:after="0" w:line="123" w:lineRule="exact"/>
                          <w:ind w:right="1866" w:left="0" w:firstLine="0"/>
                          <w:jc w:val="righ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Opportunities for</w:t>
                        </w:r>
                      </w:p>
                      <w:p>
                        <w:pPr>
                          <w:tabs>
                            <w:tab w:val="left" w:leader="none" w:pos="2664"/>
                            <w:tab w:val="left" w:leader="none" w:pos="4608"/>
                          </w:tabs>
                          <w:spacing w:before="0" w:after="0" w:line="188" w:lineRule="exact"/>
                          <w:ind w:right="0" w:left="0"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Key goods and services	</w:t>
                        </w:r>
                        <w:r>
                          <w:rPr>
                            <w:rFonts w:ascii="Arial" w:hAnsi="Arial" w:eastAsia="Arial"/>
                            <w:b w:val="true"/>
                            <w:color w:val="000000"/>
                            <w:spacing w:val="0"/>
                            <w:w w:val="100"/>
                            <w:sz w:val="17"/>
                            <w:vertAlign w:val="baseline"/>
                            <w:lang w:val="en-US"/>
                          </w:rPr>
                          <w:t xml:space="preserve">Australian entities </w:t>
                        </w:r>
                        <w:r>
                          <w:rPr>
                            <w:rFonts w:ascii="Arial" w:hAnsi="Arial" w:eastAsia="Arial"/>
                            <w:b w:val="true"/>
                            <w:color w:val="000000"/>
                            <w:spacing w:val="0"/>
                            <w:w w:val="100"/>
                            <w:sz w:val="12"/>
                            <w:vertAlign w:val="baseline"/>
                            <w:lang w:val="en-US"/>
                          </w:rPr>
                          <w:t xml:space="preserve">*	</w:t>
                        </w:r>
                        <w:r>
                          <w:rPr>
                            <w:rFonts w:ascii="Arial" w:hAnsi="Arial" w:eastAsia="Arial"/>
                            <w:b w:val="true"/>
                            <w:color w:val="000000"/>
                            <w:spacing w:val="0"/>
                            <w:w w:val="100"/>
                            <w:sz w:val="17"/>
                            <w:vertAlign w:val="baseline"/>
                            <w:lang w:val="en-US"/>
                          </w:rPr>
                          <w:t xml:space="preserve">non-Australian</w:t>
                        </w:r>
                      </w:p>
                      <w:p>
                        <w:pPr>
                          <w:spacing w:before="0" w:after="23" w:line="175" w:lineRule="exact"/>
                          <w:ind w:right="0" w:left="4752"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entities</w:t>
                        </w:r>
                      </w:p>
                    </w:tc>
                    <w:tc>
                      <w:tcPr>
                        <w:tcW w:w="2876" w:type="dxa"/>
                        <w:tcBorders>
                          <w:top w:val="none"/>
                          <w:left w:val="none"/>
                          <w:bottom w:val="none"/>
                          <w:right w:val="none"/>
                        </w:tcBorders>
                        <w:textDirection w:val="lrTb"/>
                        <w:vAlign w:val="bottom"/>
                      </w:tcPr>
                      <w:p>
                        <w:pPr>
                          <w:spacing w:before="1200" w:after="143" w:line="221" w:lineRule="exact"/>
                          <w:ind w:right="36" w:left="144" w:firstLine="0"/>
                          <w:jc w:val="both"/>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Explanation for no opportunities for Australian entities</w:t>
                        </w:r>
                      </w:p>
                    </w:tc>
                  </w:tr>
                </w:tbl>
              </w:txbxContent>
            </v:textbox>
          </v:shape>
        </w:pict>
      </w:r>
      <w:r>
        <w:pict>
          <v:shapetype id="_x0000_t3" coordsize="21600,21600" o:spt="202" path="m,l,21600r21600,l21600,xe">
            <v:stroke joinstyle="miter"/>
            <v:path gradientshapeok="t" o:connecttype="rect"/>
          </v:shapetype>
          <v:shape id="_x0000_s2" type="#_x0000_t3" filled="f" stroked="f" style="position:absolute;width:441pt;height:22.1pt;z-index:-998;margin-left:52.1pt;margin-top:191.9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2759"/>
                    <w:gridCol w:w="6061"/>
                  </w:tblGrid>
                  <w:tr>
                    <w:trPr>
                      <w:trHeight w:val="442" w:hRule="exact"/>
                    </w:trPr>
                    <w:tc>
                      <w:tcPr>
                        <w:tcW w:w="2759" w:type="dxa"/>
                        <w:tcBorders>
                          <w:top w:val="none"/>
                          <w:left w:val="none"/>
                          <w:bottom w:val="none"/>
                          <w:right w:val="none"/>
                        </w:tcBorders>
                        <w:textDirection w:val="lrTb"/>
                        <w:vAlign w:val="top"/>
                      </w:tcPr>
                      <w:p>
                        <w:pPr>
                          <w:spacing w:before="0" w:after="28" w:line="204"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Wind Turbines (Nacelles, Hubs &amp; Blades)</w:t>
                        </w:r>
                      </w:p>
                    </w:tc>
                    <w:tc>
                      <w:tcPr>
                        <w:tcW w:w="6061" w:type="dxa"/>
                        <w:tcBorders>
                          <w:top w:val="none"/>
                          <w:left w:val="none"/>
                          <w:bottom w:val="none"/>
                          <w:right w:val="none"/>
                        </w:tcBorders>
                        <w:textDirection w:val="lrTb"/>
                        <w:vAlign w:val="center"/>
                      </w:tcPr>
                      <w:p>
                        <w:pPr>
                          <w:tabs>
                            <w:tab w:val="left" w:leader="none" w:pos="2232"/>
                          </w:tabs>
                          <w:spacing w:before="102" w:after="148" w:line="187" w:lineRule="exact"/>
                          <w:ind w:right="3555" w:left="0" w:firstLine="0"/>
                          <w:jc w:val="right"/>
                          <w:textAlignment w:val="baseline"/>
                          <w:rPr>
                            <w:rFonts w:ascii="Arial" w:hAnsi="Arial" w:eastAsia="Arial"/>
                            <w:color w:val="000000"/>
                            <w:spacing w:val="-14"/>
                            <w:w w:val="100"/>
                            <w:sz w:val="16"/>
                            <w:vertAlign w:val="baseline"/>
                            <w:lang w:val="en-US"/>
                          </w:rPr>
                        </w:pPr>
                        <w:r>
                          <w:rPr>
                            <w:rFonts w:ascii="Arial" w:hAnsi="Arial" w:eastAsia="Arial"/>
                            <w:color w:val="000000"/>
                            <w:spacing w:val="-14"/>
                            <w:w w:val="100"/>
                            <w:sz w:val="16"/>
                            <w:vertAlign w:val="baseline"/>
                            <w:lang w:val="en-US"/>
                          </w:rPr>
                          <w:t xml:space="preserve">Yes	</w:t>
                        </w:r>
                        <w:r>
                          <w:rPr>
                            <w:rFonts w:ascii="Arial" w:hAnsi="Arial" w:eastAsia="Arial"/>
                            <w:color w:val="000000"/>
                            <w:spacing w:val="-14"/>
                            <w:w w:val="100"/>
                            <w:sz w:val="16"/>
                            <w:vertAlign w:val="baseline"/>
                            <w:lang w:val="en-US"/>
                          </w:rPr>
                          <w:t xml:space="preserve">Yes</w:t>
                        </w:r>
                      </w:p>
                    </w:tc>
                  </w:tr>
                </w:tbl>
              </w:txbxContent>
            </v:textbox>
          </v:shape>
        </w:pict>
      </w:r>
      <w:r>
        <w:pict>
          <v:shapetype id="_x0000_t4" coordsize="21600,21600" o:spt="202" path="m,l,21600r21600,l21600,xe">
            <v:stroke joinstyle="miter"/>
            <v:path gradientshapeok="t" o:connecttype="rect"/>
          </v:shapetype>
          <v:shape id="_x0000_s3" type="#_x0000_t4" filled="f" stroked="f" style="position:absolute;width:441pt;height:64.35pt;z-index:-997;margin-left:52.1pt;margin-top:214.0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240"/>
                      <w:tab w:val="left" w:leader="none" w:pos="5040"/>
                    </w:tabs>
                    <w:spacing w:before="1"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Wind Turbine Towers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3240"/>
                      <w:tab w:val="left" w:leader="none" w:pos="5040"/>
                    </w:tabs>
                    <w:spacing w:before="29"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Wind Turbine Foundation Bolts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3240"/>
                      <w:tab w:val="left" w:leader="none" w:pos="5040"/>
                    </w:tabs>
                    <w:spacing w:before="33"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Quarry Materials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3240"/>
                      <w:tab w:val="left" w:leader="none" w:pos="5040"/>
                    </w:tabs>
                    <w:spacing w:before="34" w:after="0" w:line="187"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Concrete Supply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3240"/>
                      <w:tab w:val="left" w:leader="none" w:pos="5040"/>
                    </w:tabs>
                    <w:spacing w:before="34" w:after="0" w:line="187"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Reinforcing Steel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tabs>
                      <w:tab w:val="left" w:leader="none" w:pos="3240"/>
                      <w:tab w:val="left" w:leader="none" w:pos="5040"/>
                    </w:tabs>
                    <w:spacing w:before="34"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Electrical Cabling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118.05pt;height:23.45pt;z-index:-996;margin-left:52.1pt;margin-top:278.4pt;mso-wrap-distance-left:0pt;mso-wrap-distance-right:0pt;mso-position-horizontal-relative:page;mso-position-vertical-relative:page">
            <w10:wrap type="square" side="both"/>
            <v:fill opacity="1" o:opacity2="1" recolor="f" rotate="f" type="solid"/>
            <v:textbox inset="0pt, 0pt, 0pt, 0pt">
              <w:txbxContent>
                <w:p>
                  <w:pPr>
                    <w:spacing w:before="5" w:after="28" w:line="216"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Electrical Transmission Line Poles </w:t>
                  </w:r>
                  <w:r>
                    <w:rPr>
                      <w:rFonts w:ascii="Arial" w:hAnsi="Arial" w:eastAsia="Arial"/>
                      <w:color w:val="000000"/>
                      <w:spacing w:val="0"/>
                      <w:w w:val="100"/>
                      <w:sz w:val="16"/>
                      <w:vertAlign w:val="baseline"/>
                      <w:lang w:val="en-US"/>
                    </w:rPr>
                    <w:t xml:space="preserve">&amp; Towers</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441pt;height:42.55pt;z-index:-995;margin-left:52.1pt;margin-top:301.8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240"/>
                      <w:tab w:val="left" w:leader="none" w:pos="5040"/>
                    </w:tabs>
                    <w:spacing w:before="1"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Electrical Substation Equipment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240"/>
                      <w:tab w:val="left" w:leader="none" w:pos="5040"/>
                    </w:tabs>
                    <w:spacing w:before="34" w:after="0" w:line="187"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International Shipping &amp; Logistics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tabs>
                      <w:tab w:val="left" w:leader="none" w:pos="3240"/>
                      <w:tab w:val="left" w:leader="none" w:pos="5040"/>
                    </w:tabs>
                    <w:spacing w:before="34" w:after="0" w:line="187"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Domestic Transport &amp; Logistics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Yes</w:t>
                  </w:r>
                </w:p>
                <w:p>
                  <w:pPr>
                    <w:tabs>
                      <w:tab w:val="left" w:leader="none" w:pos="3240"/>
                      <w:tab w:val="left" w:leader="none" w:pos="5040"/>
                    </w:tabs>
                    <w:spacing w:before="34"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Earthmoving &amp; Excavation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115.4pt;height:23.45pt;z-index:-994;margin-left:52.1pt;margin-top:344.4pt;mso-wrap-distance-left:0pt;mso-wrap-distance-right:0pt;mso-position-horizontal-relative:page;mso-position-vertical-relative:page">
            <w10:wrap type="square" side="both"/>
            <v:fill opacity="1" o:opacity2="1" recolor="f" rotate="f" type="solid"/>
            <v:textbox inset="0pt, 0pt, 0pt, 0pt">
              <w:txbxContent>
                <w:p>
                  <w:pPr>
                    <w:spacing w:before="5" w:after="19" w:line="216"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Design &amp; Construction of Roads &amp; </w:t>
                  </w:r>
                  <w:r>
                    <w:rPr>
                      <w:rFonts w:ascii="Arial" w:hAnsi="Arial" w:eastAsia="Arial"/>
                      <w:color w:val="000000"/>
                      <w:spacing w:val="0"/>
                      <w:w w:val="100"/>
                      <w:sz w:val="16"/>
                      <w:vertAlign w:val="baseline"/>
                      <w:lang w:val="en-US"/>
                    </w:rPr>
                    <w:t xml:space="preserve">Hardstands</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322.95pt;height:23.45pt;z-index:-993;margin-left:170.15pt;margin-top:278.4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664"/>
                    </w:tabs>
                    <w:spacing w:before="130" w:after="148" w:line="187" w:lineRule="exact"/>
                    <w:ind w:right="0" w:left="86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325.6pt;height:23.45pt;z-index:-992;margin-left:167.5pt;margin-top:344.4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2736"/>
                    </w:tabs>
                    <w:spacing w:before="130" w:after="139" w:line="187" w:lineRule="exact"/>
                    <w:ind w:right="0" w:left="93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116.85pt;height:130.4pt;z-index:-991;margin-left:52.1pt;margin-top:367.85pt;mso-wrap-distance-left:0pt;mso-wrap-distance-right:0pt;mso-position-horizontal-relative:page;mso-position-vertical-relative:page">
            <w10:wrap type="square" side="both"/>
            <v:fill opacity="1" o:opacity2="1" recolor="f" rotate="f" type="solid"/>
            <v:textbox inset="0pt, 0pt, 0pt, 0pt">
              <w:txbxContent>
                <w:p>
                  <w:pPr>
                    <w:spacing w:before="0" w:after="0" w:line="204"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Construction of Wind Turbine Foundations</w:t>
                  </w:r>
                </w:p>
                <w:p>
                  <w:pPr>
                    <w:spacing w:before="0" w:after="0" w:line="221"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Construction of Underground Cabling</w:t>
                  </w:r>
                </w:p>
                <w:p>
                  <w:pPr>
                    <w:spacing w:before="5" w:after="0" w:line="216"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Construction of Overhead Transmission Lines</w:t>
                  </w:r>
                </w:p>
                <w:p>
                  <w:pPr>
                    <w:spacing w:before="0" w:after="0" w:line="220"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Construction of Electrical Substations</w:t>
                  </w:r>
                </w:p>
                <w:p>
                  <w:pPr>
                    <w:spacing w:before="0" w:after="0" w:line="221"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Erection &amp; Installation of Wind Turbines</w:t>
                  </w:r>
                </w:p>
                <w:p>
                  <w:pPr>
                    <w:spacing w:before="5" w:after="0" w:line="215"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Engineering &amp; Design Consultancy Services</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102pt;height:130.4pt;z-index:-990;margin-left:213.6pt;margin-top:367.8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016"/>
                    </w:tabs>
                    <w:spacing w:before="102" w:after="0" w:line="187" w:lineRule="exact"/>
                    <w:ind w:right="0" w:left="0"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right" w:leader="none" w:pos="2016"/>
                    </w:tabs>
                    <w:spacing w:before="255" w:after="0" w:line="187" w:lineRule="exact"/>
                    <w:ind w:right="0" w:left="0"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right" w:leader="none" w:pos="2016"/>
                    </w:tabs>
                    <w:spacing w:before="250" w:after="0" w:line="187" w:lineRule="exact"/>
                    <w:ind w:right="0" w:left="0"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right" w:leader="none" w:pos="2016"/>
                    </w:tabs>
                    <w:spacing w:before="254" w:after="0" w:line="187" w:lineRule="exact"/>
                    <w:ind w:right="0" w:left="0"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16"/>
                    </w:tabs>
                    <w:spacing w:before="255" w:after="0" w:line="187" w:lineRule="exact"/>
                    <w:ind w:right="0" w:left="0"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16"/>
                    </w:tabs>
                    <w:spacing w:before="250" w:after="119" w:line="187" w:lineRule="exact"/>
                    <w:ind w:right="0" w:left="0"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264pt;height:267.15pt;z-index:-989;margin-left:50.65pt;margin-top:498.2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240"/>
                      <w:tab w:val="right" w:leader="none" w:pos="5328"/>
                    </w:tabs>
                    <w:spacing w:before="33" w:after="0" w:line="18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Project Management Services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spacing w:before="310" w:after="0" w:line="91" w:lineRule="exact"/>
                    <w:ind w:right="0" w:left="0" w:firstLine="0"/>
                    <w:jc w:val="left"/>
                    <w:textAlignment w:val="baseline"/>
                    <w:rPr>
                      <w:rFonts w:ascii="Arial" w:hAnsi="Arial" w:eastAsia="Arial"/>
                      <w:color w:val="000000"/>
                      <w:spacing w:val="0"/>
                      <w:w w:val="100"/>
                      <w:sz w:val="12"/>
                      <w:vertAlign w:val="baseline"/>
                      <w:lang w:val="en-US"/>
                    </w:rPr>
                  </w:pPr>
                  <w:r>
                    <w:rPr>
                      <w:rFonts w:ascii="Arial" w:hAnsi="Arial" w:eastAsia="Arial"/>
                      <w:color w:val="000000"/>
                      <w:spacing w:val="0"/>
                      <w:w w:val="100"/>
                      <w:sz w:val="12"/>
                      <w:vertAlign w:val="baseline"/>
                      <w:lang w:val="en-US"/>
                    </w:rPr>
                    <w:t xml:space="preserve">*</w:t>
                  </w:r>
                </w:p>
                <w:p>
                  <w:pPr>
                    <w:spacing w:before="0" w:after="0" w:line="229"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An Australian entity is an entity with an ABN or ACN</w:t>
                    <w:br/>
                  </w:r>
                  <w:r>
                    <w:rPr>
                      <w:rFonts w:ascii="Arial" w:hAnsi="Arial" w:eastAsia="Arial"/>
                      <w:color w:val="000000"/>
                      <w:spacing w:val="0"/>
                      <w:w w:val="100"/>
                      <w:sz w:val="16"/>
                      <w:vertAlign w:val="baseline"/>
                      <w:lang w:val="en-US"/>
                    </w:rPr>
                    <w:t xml:space="preserve">Project standards:</w:t>
                  </w:r>
                </w:p>
                <w:p>
                  <w:pPr>
                    <w:spacing w:before="119" w:after="3701" w:line="221" w:lineRule="exact"/>
                    <w:ind w:right="0" w:left="64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Australian</w:t>
                    <w:br/>
                  </w:r>
                  <w:r>
                    <w:rPr>
                      <w:rFonts w:ascii="Arial" w:hAnsi="Arial" w:eastAsia="Arial"/>
                      <w:color w:val="000000"/>
                      <w:spacing w:val="0"/>
                      <w:w w:val="100"/>
                      <w:sz w:val="16"/>
                      <w:vertAlign w:val="baseline"/>
                      <w:lang w:val="en-US"/>
                    </w:rPr>
                    <w:t xml:space="preserve">International</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55.4pt;height:13.6pt;z-index:-988;margin-left:487.8pt;margin-top:765.4pt;mso-wrap-distance-left:0pt;mso-wrap-distance-right:0pt;mso-position-horizontal-relative:page;mso-position-vertical-relative:page">
            <w10:wrap type="square" side="both"/>
            <v:fill opacity="1" o:opacity2="1" recolor="f" rotate="f" type="solid"/>
            <v:textbox inset="0pt, 0pt, 0pt, 0pt">
              <w:txbxContent>
                <w:p>
                  <w:pPr>
                    <w:spacing w:before="4" w:after="5" w:line="24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2 of 5</w:t>
                  </w:r>
                </w:p>
              </w:txbxContent>
            </v:textbox>
          </v:shape>
        </w:pict>
      </w:r>
    </w:p>
    <w:p>
      <w:pPr>
        <w:sectPr>
          <w:type w:val="nextPage"/>
          <w:pgSz w:w="11904" w:h="16843" w:orient="portrait"/>
          <w:pgMar w:bottom="890" w:top="752" w:right="1040" w:left="1013" w:header="720" w:footer="720"/>
          <w:titlePg w:val="false"/>
          <w:textDirection w:val="lrTb"/>
        </w:sectPr>
      </w:pPr>
    </w:p>
    <w:p>
      <w:pPr>
        <w:spacing w:before="3" w:after="813" w:line="188" w:lineRule="exact"/>
        <w:ind w:right="0" w:left="0" w:firstLine="0"/>
        <w:jc w:val="center"/>
        <w:textAlignment w:val="baseline"/>
        <w:rPr>
          <w:rFonts w:ascii="Times New Roman" w:hAnsi="Times New Roman" w:eastAsia="Times New Roman"/>
          <w:color w:val="000000"/>
          <w:spacing w:val="-1"/>
          <w:w w:val="100"/>
          <w:sz w:val="16"/>
          <w:vertAlign w:val="baseline"/>
          <w:lang w:val="en-US"/>
        </w:rPr>
      </w:pPr>
      <w:r>
        <w:rPr>
          <w:rFonts w:ascii="Times New Roman" w:hAnsi="Times New Roman" w:eastAsia="Times New Roman"/>
          <w:color w:val="000000"/>
          <w:spacing w:val="-1"/>
          <w:w w:val="100"/>
          <w:sz w:val="16"/>
          <w:vertAlign w:val="baseline"/>
          <w:lang w:val="en-US"/>
        </w:rPr>
        <w:t xml:space="preserve">***** Approved by AIP Authority on Wed Jun 08 2022 12:47:24 GMT+1 000 (AEST) *****</w:t>
      </w:r>
    </w:p>
    <w:p>
      <w:pPr>
        <w:spacing w:before="3" w:after="813" w:line="188" w:lineRule="exact"/>
        <w:sectPr>
          <w:type w:val="nextPage"/>
          <w:pgSz w:w="11904" w:h="16843" w:orient="portrait"/>
          <w:pgMar w:bottom="867" w:top="1040" w:right="3005" w:left="2779" w:header="720" w:footer="720"/>
          <w:titlePg w:val="false"/>
          <w:textDirection w:val="lrTb"/>
        </w:sectPr>
      </w:pPr>
    </w:p>
    <w:p>
      <w:pPr>
        <w:spacing w:before="0" w:after="0" w:line="395" w:lineRule="exact"/>
        <w:ind w:right="0" w:left="0"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49"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proponent’s contact person for supplier enquiries:</w:t>
      </w:r>
    </w:p>
    <w:p>
      <w:pPr>
        <w:spacing w:before="476" w:after="0" w:line="187"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Anna Hedgcock</w:t>
      </w:r>
    </w:p>
    <w:p>
      <w:pPr>
        <w:spacing w:before="34" w:after="0" w:line="187" w:lineRule="exact"/>
        <w:ind w:right="0" w:left="0" w:firstLine="0"/>
        <w:jc w:val="left"/>
        <w:textAlignment w:val="baseline"/>
        <w:rPr>
          <w:rFonts w:ascii="Arial" w:hAnsi="Arial" w:eastAsia="Arial"/>
          <w:b w:val="true"/>
          <w:color w:val="000000"/>
          <w:spacing w:val="1"/>
          <w:w w:val="100"/>
          <w:sz w:val="16"/>
          <w:vertAlign w:val="baseline"/>
          <w:lang w:val="en-US"/>
        </w:rPr>
      </w:pPr>
      <w:r>
        <w:rPr>
          <w:rFonts w:ascii="Arial" w:hAnsi="Arial" w:eastAsia="Arial"/>
          <w:b w:val="true"/>
          <w:color w:val="000000"/>
          <w:spacing w:val="1"/>
          <w:w w:val="100"/>
          <w:sz w:val="16"/>
          <w:vertAlign w:val="baseline"/>
          <w:lang w:val="en-US"/>
        </w:rPr>
        <w:t xml:space="preserve">Contact person position </w:t>
      </w:r>
      <w:r>
        <w:rPr>
          <w:rFonts w:ascii="Arial" w:hAnsi="Arial" w:eastAsia="Arial"/>
          <w:color w:val="000000"/>
          <w:spacing w:val="1"/>
          <w:w w:val="100"/>
          <w:sz w:val="16"/>
          <w:vertAlign w:val="baseline"/>
          <w:lang w:val="en-US"/>
        </w:rPr>
        <w:t xml:space="preserve">Commercial Manager</w:t>
      </w:r>
    </w:p>
    <w:p>
      <w:pPr>
        <w:spacing w:before="29" w:after="0" w:line="187" w:lineRule="exact"/>
        <w:ind w:right="0" w:left="72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Arial" w:hAnsi="Arial" w:eastAsia="Arial"/>
          <w:color w:val="000000"/>
          <w:spacing w:val="0"/>
          <w:w w:val="100"/>
          <w:sz w:val="16"/>
          <w:vertAlign w:val="baseline"/>
          <w:lang w:val="en-US"/>
        </w:rPr>
        <w:t xml:space="preserve">0396178400</w:t>
      </w:r>
    </w:p>
    <w:p>
      <w:pPr>
        <w:spacing w:before="33" w:after="0" w:line="187" w:lineRule="exact"/>
        <w:ind w:right="0" w:left="136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E-mail </w:t>
      </w:r>
      <w:hyperlink r:id="dhId1">
        <w:r>
          <w:rPr>
            <w:rFonts w:ascii="Arial" w:hAnsi="Arial" w:eastAsia="Arial"/>
            <w:color w:val="0000FF"/>
            <w:spacing w:val="0"/>
            <w:w w:val="100"/>
            <w:sz w:val="16"/>
            <w:u w:val="single"/>
            <w:vertAlign w:val="baseline"/>
            <w:lang w:val="en-US"/>
          </w:rPr>
          <w:t xml:space="preserve">info@hillsofgoldenergy.com</w:t>
        </w:r>
      </w:hyperlink>
      <w:r>
        <w:rPr>
          <w:rFonts w:ascii="Arial" w:hAnsi="Arial" w:eastAsia="Arial"/>
          <w:color w:val="000000"/>
          <w:spacing w:val="0"/>
          <w:w w:val="100"/>
          <w:sz w:val="16"/>
          <w:vertAlign w:val="baseline"/>
          <w:lang w:val="en-US"/>
        </w:rPr>
        <w:t xml:space="preserve">
</w:t>
      </w:r>
    </w:p>
    <w:p>
      <w:pPr>
        <w:spacing w:before="193"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proponent website: </w:t>
      </w:r>
      <w:hyperlink r:id="dhId2">
        <w:r>
          <w:rPr>
            <w:rFonts w:ascii="Arial" w:hAnsi="Arial" w:eastAsia="Arial"/>
            <w:color w:val="0000FF"/>
            <w:spacing w:val="-3"/>
            <w:w w:val="100"/>
            <w:sz w:val="16"/>
            <w:u w:val="single"/>
            <w:vertAlign w:val="baseline"/>
            <w:lang w:val="en-US"/>
          </w:rPr>
          <w:t xml:space="preserve">www.hillsofgoldenergy.com</w:t>
        </w:r>
      </w:hyperlink>
      <w:r>
        <w:rPr>
          <w:rFonts w:ascii="Arial" w:hAnsi="Arial" w:eastAsia="Arial"/>
          <w:color w:val="000000"/>
          <w:spacing w:val="-3"/>
          <w:w w:val="100"/>
          <w:sz w:val="16"/>
          <w:vertAlign w:val="baseline"/>
          <w:lang w:val="en-US"/>
        </w:rPr>
        <w:t xml:space="preserve">
</w:t>
      </w:r>
    </w:p>
    <w:p>
      <w:pPr>
        <w:spacing w:before="100" w:after="0" w:line="221" w:lineRule="exact"/>
        <w:ind w:right="1224"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Project opportunities website: Relevant ICN website address created and maintained by each of the Prime Contractors via https://gateway.icn.org.au/</w:t>
      </w:r>
    </w:p>
    <w:p>
      <w:pPr>
        <w:spacing w:before="154" w:after="0" w:line="187"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Supplier engagement and communication actions :</w:t>
      </w:r>
    </w:p>
    <w:p>
      <w:pPr>
        <w:spacing w:before="99" w:after="0" w:line="220"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Engage with vendor identification agencies on project opportunities and bid processes</w:t>
        <w:br/>
      </w:r>
      <w:r>
        <w:rPr>
          <w:rFonts w:ascii="Arial" w:hAnsi="Arial" w:eastAsia="Arial"/>
          <w:color w:val="000000"/>
          <w:spacing w:val="0"/>
          <w:w w:val="100"/>
          <w:sz w:val="16"/>
          <w:vertAlign w:val="baseline"/>
          <w:lang w:val="en-US"/>
        </w:rPr>
        <w:t xml:space="preserve">Conduct supplier information briefings on project opportunities and bid processes</w:t>
        <w:br/>
      </w:r>
      <w:r>
        <w:rPr>
          <w:rFonts w:ascii="Arial" w:hAnsi="Arial" w:eastAsia="Arial"/>
          <w:color w:val="000000"/>
          <w:spacing w:val="0"/>
          <w:w w:val="100"/>
          <w:sz w:val="16"/>
          <w:vertAlign w:val="baseline"/>
          <w:lang w:val="en-US"/>
        </w:rPr>
        <w:t xml:space="preserve">Issue media releases or ASX announcements on project developments and opportunities</w:t>
        <w:br/>
      </w:r>
      <w:r>
        <w:rPr>
          <w:rFonts w:ascii="Arial" w:hAnsi="Arial" w:eastAsia="Arial"/>
          <w:color w:val="000000"/>
          <w:spacing w:val="0"/>
          <w:w w:val="100"/>
          <w:sz w:val="16"/>
          <w:vertAlign w:val="baseline"/>
          <w:lang w:val="en-US"/>
        </w:rPr>
        <w:t xml:space="preserve">Develop and distribute a supplier information guide for the project</w:t>
      </w:r>
    </w:p>
    <w:p>
      <w:pPr>
        <w:spacing w:before="0" w:after="0" w:line="221"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Directly contact suppliers with information on project opportunities and bid processes</w:t>
        <w:br/>
      </w:r>
      <w:r>
        <w:rPr>
          <w:rFonts w:ascii="Arial" w:hAnsi="Arial" w:eastAsia="Arial"/>
          <w:color w:val="000000"/>
          <w:spacing w:val="0"/>
          <w:w w:val="100"/>
          <w:sz w:val="16"/>
          <w:vertAlign w:val="baseline"/>
          <w:lang w:val="en-US"/>
        </w:rPr>
        <w:t xml:space="preserve">Website Updates</w:t>
      </w:r>
    </w:p>
    <w:p>
      <w:pPr>
        <w:spacing w:before="463" w:after="0" w:line="397" w:lineRule="exact"/>
        <w:ind w:right="0" w:left="0"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49"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35"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Recommend suppliers undertake training and/or accreditation</w:t>
      </w:r>
    </w:p>
    <w:p>
      <w:pPr>
        <w:spacing w:before="34"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Provide market intelligence to suppliers</w:t>
      </w:r>
    </w:p>
    <w:p>
      <w:pPr>
        <w:spacing w:before="34"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 development initiatives of industry associations or governments</w:t>
      </w:r>
    </w:p>
    <w:p>
      <w:pPr>
        <w:spacing w:before="192"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125" w:after="0" w:line="216"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Support supplier export and global integration initiatives of industry associations or governments</w:t>
        <w:br/>
      </w:r>
      <w:r>
        <w:rPr>
          <w:rFonts w:ascii="Arial" w:hAnsi="Arial" w:eastAsia="Arial"/>
          <w:color w:val="000000"/>
          <w:spacing w:val="0"/>
          <w:w w:val="100"/>
          <w:sz w:val="16"/>
          <w:vertAlign w:val="baseline"/>
          <w:lang w:val="en-US"/>
        </w:rPr>
        <w:t xml:space="preserve">Provide references for high performing suppliers</w:t>
      </w:r>
    </w:p>
    <w:p>
      <w:pPr>
        <w:spacing w:before="197"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Feedback process for unsuccessful bidders:</w:t>
      </w:r>
    </w:p>
    <w:p>
      <w:pPr>
        <w:spacing w:before="96" w:after="3422" w:line="220"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All major procurement will be undertaken by the Prime Contractors. The Prime contractors will be contractually required to provide a written offer of feedback to unsuccessful bidders to the project. During prequalification the Prime Contractors will; Advise the supplier on shortfalls identified during the prequalification stage and have them submit additional information to support. Advise any industry bodies they may be able to make contact with dependent on the issue. During bid phase the Prime Contractors will; Provide feedback on unsuccessful bid including reason as to why, i.e. price, lead time etc, This may include making contact with associations or training bodies to recommend to the supplier to assist in gaining further accreditation for future opportunities</w:t>
      </w:r>
    </w:p>
    <w:p>
      <w:pPr>
        <w:spacing w:before="96" w:after="3422" w:line="220" w:lineRule="exact"/>
        <w:sectPr>
          <w:type w:val="continuous"/>
          <w:pgSz w:w="11904" w:h="16843" w:orient="portrait"/>
          <w:pgMar w:bottom="867" w:top="1040" w:right="1422" w:left="1042"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3 of 5</w:t>
      </w:r>
    </w:p>
    <w:p>
      <w:pPr>
        <w:sectPr>
          <w:type w:val="continuous"/>
          <w:pgSz w:w="11904" w:h="16843" w:orient="portrait"/>
          <w:pgMar w:bottom="867" w:top="1040" w:right="1034" w:left="9770" w:header="720" w:footer="720"/>
          <w:titlePg w:val="false"/>
          <w:textDirection w:val="lrTb"/>
        </w:sectPr>
      </w:pPr>
    </w:p>
    <w:p>
      <w:pPr>
        <w:spacing w:before="3" w:after="0" w:line="188" w:lineRule="exact"/>
        <w:ind w:right="36"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by AIP Authority on Wed Jun 08 2022 12:47:24 GMT+1 000 (AEST) *****</w:t>
      </w:r>
    </w:p>
    <w:p>
      <w:pPr>
        <w:spacing w:before="901" w:after="100" w:line="360" w:lineRule="exact"/>
        <w:ind w:right="936"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Australian Industry Participation Plan Summary - Operations Phase</w:t>
      </w:r>
    </w:p>
    <w:p>
      <w:pPr>
        <w:spacing w:before="122" w:after="0" w:line="190" w:lineRule="exact"/>
        <w:ind w:right="36" w:left="0" w:firstLine="0"/>
        <w:jc w:val="left"/>
        <w:textAlignment w:val="baseline"/>
        <w:rPr>
          <w:rFonts w:ascii="Arial" w:hAnsi="Arial" w:eastAsia="Arial"/>
          <w:b w:val="true"/>
          <w:color w:val="000000"/>
          <w:spacing w:val="-3"/>
          <w:w w:val="100"/>
          <w:sz w:val="17"/>
          <w:vertAlign w:val="baseline"/>
          <w:lang w:val="en-US"/>
        </w:rPr>
      </w:pPr>
      <w:r>
        <w:pict>
          <v:line strokeweight="1.2pt" strokecolor="#000000" from="43.9pt,148.55pt" to="538.15pt,148.55pt" style="position:absolute;mso-position-horizontal-relative:page;mso-position-vertical-relative:page;">
            <v:stroke dashstyle="solid"/>
          </v:line>
        </w:pict>
      </w:r>
      <w:r>
        <w:rPr>
          <w:rFonts w:ascii="Arial" w:hAnsi="Arial" w:eastAsia="Arial"/>
          <w:b w:val="true"/>
          <w:color w:val="000000"/>
          <w:spacing w:val="-3"/>
          <w:w w:val="100"/>
          <w:sz w:val="17"/>
          <w:vertAlign w:val="baseline"/>
          <w:lang w:val="en-US"/>
        </w:rPr>
        <w:t xml:space="preserve">Nominated facility operator: </w:t>
      </w:r>
      <w:r>
        <w:rPr>
          <w:rFonts w:ascii="Arial" w:hAnsi="Arial" w:eastAsia="Arial"/>
          <w:color w:val="000000"/>
          <w:spacing w:val="-3"/>
          <w:w w:val="100"/>
          <w:sz w:val="16"/>
          <w:vertAlign w:val="baseline"/>
          <w:lang w:val="en-US"/>
        </w:rPr>
        <w:t xml:space="preserve">HILLS OF GOLD WIND FARM PTY LIMITED</w:t>
      </w:r>
    </w:p>
    <w:p>
      <w:pPr>
        <w:spacing w:before="342" w:after="0" w:line="397" w:lineRule="exact"/>
        <w:ind w:right="36" w:left="144"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Facility details</w:t>
      </w:r>
    </w:p>
    <w:p>
      <w:pPr>
        <w:spacing w:before="204" w:after="0" w:line="331" w:lineRule="exact"/>
        <w:ind w:right="36"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Name: Hills of Gold Wind Farm</w:t>
        <w:br/>
      </w:r>
      <w:r>
        <w:rPr>
          <w:rFonts w:ascii="Arial" w:hAnsi="Arial" w:eastAsia="Arial"/>
          <w:color w:val="000000"/>
          <w:spacing w:val="0"/>
          <w:w w:val="100"/>
          <w:sz w:val="16"/>
          <w:vertAlign w:val="baseline"/>
          <w:lang w:val="en-US"/>
        </w:rPr>
        <w:t xml:space="preserve">Location: Hanging Rock, NSW</w:t>
        <w:br/>
      </w:r>
      <w:r>
        <w:rPr>
          <w:rFonts w:ascii="Arial" w:hAnsi="Arial" w:eastAsia="Arial"/>
          <w:color w:val="000000"/>
          <w:spacing w:val="0"/>
          <w:w w:val="100"/>
          <w:sz w:val="16"/>
          <w:vertAlign w:val="baseline"/>
          <w:lang w:val="en-US"/>
        </w:rPr>
        <w:t xml:space="preserve">Type: Electricity facility</w:t>
      </w:r>
    </w:p>
    <w:p>
      <w:pPr>
        <w:spacing w:before="407" w:after="0" w:line="397" w:lineRule="exact"/>
        <w:ind w:right="36" w:left="144"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Key goods and services</w:t>
      </w:r>
    </w:p>
    <w:p>
      <w:pPr>
        <w:spacing w:before="350" w:after="151" w:line="185" w:lineRule="exact"/>
        <w:ind w:right="36"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new facility:</w:t>
      </w:r>
    </w:p>
    <w:tbl>
      <w:tblPr>
        <w:jc w:val="left"/>
        <w:tblLayout w:type="fixed"/>
        <w:tblCellMar>
          <w:left w:w="0" w:type="dxa"/>
          <w:right w:w="0" w:type="dxa"/>
        </w:tblCellMar>
      </w:tblPr>
      <w:tblGrid>
        <w:gridCol w:w="6948"/>
        <w:gridCol w:w="3132"/>
      </w:tblGrid>
      <w:tr>
        <w:trPr>
          <w:trHeight w:val="695" w:hRule="exact"/>
        </w:trPr>
        <w:tc>
          <w:tcPr>
            <w:tcW w:w="6948" w:type="dxa"/>
            <w:tcBorders>
              <w:top w:val="none"/>
              <w:left w:val="none"/>
              <w:bottom w:val="none"/>
              <w:right w:val="none"/>
            </w:tcBorders>
            <w:textDirection w:val="lrTb"/>
            <w:vAlign w:val="top"/>
          </w:tcPr>
          <w:p>
            <w:pPr>
              <w:spacing w:before="31" w:after="0" w:line="145" w:lineRule="exact"/>
              <w:ind w:right="156" w:left="0" w:firstLine="0"/>
              <w:jc w:val="righ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Opportunities for</w:t>
            </w:r>
          </w:p>
          <w:p>
            <w:pPr>
              <w:spacing w:before="0" w:after="0" w:line="124" w:lineRule="exact"/>
              <w:ind w:right="1866" w:left="0" w:firstLine="0"/>
              <w:jc w:val="righ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Opportunities for</w:t>
            </w:r>
          </w:p>
          <w:p>
            <w:pPr>
              <w:tabs>
                <w:tab w:val="left" w:leader="none" w:pos="3672"/>
                <w:tab w:val="left" w:leader="none" w:pos="5616"/>
              </w:tabs>
              <w:spacing w:before="0" w:after="0" w:line="188" w:lineRule="exact"/>
              <w:ind w:right="246" w:left="0" w:firstLine="0"/>
              <w:jc w:val="right"/>
              <w:textAlignment w:val="baseline"/>
              <w:rPr>
                <w:rFonts w:ascii="Arial" w:hAnsi="Arial" w:eastAsia="Arial"/>
                <w:b w:val="true"/>
                <w:color w:val="000000"/>
                <w:spacing w:val="-4"/>
                <w:w w:val="100"/>
                <w:sz w:val="17"/>
                <w:vertAlign w:val="baseline"/>
                <w:lang w:val="en-US"/>
              </w:rPr>
            </w:pPr>
            <w:r>
              <w:rPr>
                <w:rFonts w:ascii="Arial" w:hAnsi="Arial" w:eastAsia="Arial"/>
                <w:b w:val="true"/>
                <w:color w:val="000000"/>
                <w:spacing w:val="-4"/>
                <w:w w:val="100"/>
                <w:sz w:val="17"/>
                <w:vertAlign w:val="baseline"/>
                <w:lang w:val="en-US"/>
              </w:rPr>
              <w:t xml:space="preserve">Key goods and services	</w:t>
            </w:r>
            <w:r>
              <w:rPr>
                <w:rFonts w:ascii="Arial" w:hAnsi="Arial" w:eastAsia="Arial"/>
                <w:b w:val="true"/>
                <w:color w:val="000000"/>
                <w:spacing w:val="-4"/>
                <w:w w:val="100"/>
                <w:sz w:val="17"/>
                <w:vertAlign w:val="baseline"/>
                <w:lang w:val="en-US"/>
              </w:rPr>
              <w:t xml:space="preserve">Australian entities </w:t>
            </w:r>
            <w:r>
              <w:rPr>
                <w:rFonts w:ascii="Arial" w:hAnsi="Arial" w:eastAsia="Arial"/>
                <w:b w:val="true"/>
                <w:color w:val="000000"/>
                <w:spacing w:val="-4"/>
                <w:w w:val="100"/>
                <w:sz w:val="12"/>
                <w:vertAlign w:val="baseline"/>
                <w:lang w:val="en-US"/>
              </w:rPr>
              <w:t xml:space="preserve">*	</w:t>
            </w:r>
            <w:r>
              <w:rPr>
                <w:rFonts w:ascii="Arial" w:hAnsi="Arial" w:eastAsia="Arial"/>
                <w:b w:val="true"/>
                <w:color w:val="000000"/>
                <w:spacing w:val="-4"/>
                <w:w w:val="100"/>
                <w:sz w:val="17"/>
                <w:vertAlign w:val="baseline"/>
                <w:lang w:val="en-US"/>
              </w:rPr>
              <w:t xml:space="preserve">non-Australian</w:t>
            </w:r>
          </w:p>
          <w:p>
            <w:pPr>
              <w:spacing w:before="0" w:after="18" w:line="175" w:lineRule="exact"/>
              <w:ind w:right="516" w:left="0" w:firstLine="0"/>
              <w:jc w:val="righ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entities</w:t>
            </w:r>
          </w:p>
        </w:tc>
        <w:tc>
          <w:tcPr>
            <w:tcW w:w="3132" w:type="dxa"/>
            <w:tcBorders>
              <w:top w:val="none"/>
              <w:left w:val="none"/>
              <w:bottom w:val="none"/>
              <w:right w:val="none"/>
            </w:tcBorders>
            <w:textDirection w:val="lrTb"/>
            <w:vAlign w:val="top"/>
          </w:tcPr>
          <w:p>
            <w:pPr>
              <w:spacing w:before="31" w:after="0" w:line="190" w:lineRule="exact"/>
              <w:ind w:right="0" w:left="144"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Explanation for no</w:t>
            </w:r>
          </w:p>
          <w:p>
            <w:pPr>
              <w:spacing w:before="0" w:after="18" w:line="221" w:lineRule="exact"/>
              <w:ind w:right="0" w:left="144"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opportunities for Australian</w:t>
              <w:br/>
            </w:r>
            <w:r>
              <w:rPr>
                <w:rFonts w:ascii="Arial" w:hAnsi="Arial" w:eastAsia="Arial"/>
                <w:b w:val="true"/>
                <w:color w:val="000000"/>
                <w:spacing w:val="0"/>
                <w:w w:val="100"/>
                <w:sz w:val="17"/>
                <w:vertAlign w:val="baseline"/>
                <w:lang w:val="en-US"/>
              </w:rPr>
              <w:t xml:space="preserve">entities</w:t>
            </w:r>
          </w:p>
        </w:tc>
      </w:tr>
    </w:tbl>
    <w:tbl>
      <w:tblPr>
        <w:jc w:val="left"/>
        <w:tblLayout w:type="fixed"/>
        <w:tblCellMar>
          <w:left w:w="0" w:type="dxa"/>
          <w:right w:w="0" w:type="dxa"/>
        </w:tblCellMar>
      </w:tblPr>
      <w:tblGrid>
        <w:gridCol w:w="3783"/>
        <w:gridCol w:w="6297"/>
      </w:tblGrid>
      <w:tr>
        <w:trPr>
          <w:trHeight w:val="1320" w:hRule="exact"/>
        </w:trPr>
        <w:tc>
          <w:tcPr>
            <w:tcW w:w="3783" w:type="dxa"/>
            <w:tcBorders>
              <w:top w:val="none"/>
              <w:left w:val="none"/>
              <w:bottom w:val="none"/>
              <w:right w:val="none"/>
            </w:tcBorders>
            <w:textDirection w:val="lrTb"/>
            <w:vAlign w:val="top"/>
          </w:tcPr>
          <w:p>
            <w:pPr>
              <w:spacing w:before="0" w:after="26" w:line="214" w:lineRule="exact"/>
              <w:ind w:right="468"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Operations - Electrical Maintenance Parts - Cables, Circuit Breakers, Controls Operations- Parts - Circuit Breakers (HV&amp;MV) Surge Arrestors, Isolaters,Switches Operations - Parts - Overhead Transmission Li ne:Conductor, Earthwire, Insulators</w:t>
            </w:r>
          </w:p>
        </w:tc>
        <w:tc>
          <w:tcPr>
            <w:tcW w:w="6297" w:type="dxa"/>
            <w:tcBorders>
              <w:top w:val="none"/>
              <w:left w:val="none"/>
              <w:bottom w:val="none"/>
              <w:right w:val="none"/>
            </w:tcBorders>
            <w:textDirection w:val="lrTb"/>
            <w:vAlign w:val="top"/>
          </w:tcPr>
          <w:p>
            <w:pPr>
              <w:tabs>
                <w:tab w:val="left" w:leader="none" w:pos="2232"/>
              </w:tabs>
              <w:spacing w:before="97" w:after="0" w:line="185" w:lineRule="exact"/>
              <w:ind w:right="3780"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2232"/>
              </w:tabs>
              <w:spacing w:before="256" w:after="0" w:line="185" w:lineRule="exact"/>
              <w:ind w:right="3780"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2232"/>
              </w:tabs>
              <w:spacing w:before="257" w:after="146" w:line="185" w:lineRule="exact"/>
              <w:ind w:right="3780"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c>
      </w:tr>
    </w:tbl>
    <w:p>
      <w:pPr>
        <w:tabs>
          <w:tab w:val="left" w:leader="none" w:pos="4248"/>
          <w:tab w:val="left" w:leader="none" w:pos="6048"/>
        </w:tabs>
        <w:spacing w:before="1" w:after="0" w:line="185" w:lineRule="exact"/>
        <w:ind w:right="36"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Operations - Electrical Maintenance Services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spacing w:before="0" w:after="189" w:line="218" w:lineRule="exact"/>
        <w:ind w:right="36" w:left="144" w:firstLine="0"/>
        <w:jc w:val="both"/>
        <w:textAlignment w:val="baseline"/>
        <w:rPr>
          <w:rFonts w:ascii="Arial" w:hAnsi="Arial" w:eastAsia="Arial"/>
          <w:color w:val="000000"/>
          <w:spacing w:val="0"/>
          <w:w w:val="100"/>
          <w:sz w:val="16"/>
          <w:vertAlign w:val="baseline"/>
          <w:lang w:val="en-US"/>
        </w:rPr>
      </w:pPr>
      <w:r>
        <w:pict>
          <v:shapetype id="_x0000_t14" coordsize="21600,21600" o:spt="202" path="m,l,21600r21600,l21600,xe">
            <v:stroke joinstyle="miter"/>
            <v:path gradientshapeok="t" o:connecttype="rect"/>
          </v:shapetype>
          <v:shape id="_x0000_s13" type="#_x0000_t14" filled="f" stroked="f" style="position:absolute;width:351.8pt;height:37.85pt;z-index:-987;margin-left:196.1pt;margin-top:445.4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3024"/>
                    </w:tabs>
                    <w:spacing w:before="129" w:after="439" w:line="185" w:lineRule="exact"/>
                    <w:ind w:right="0" w:left="1152"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Yes	</w:t>
                  </w:r>
                  <w:r>
                    <w:rPr>
                      <w:rFonts w:ascii="Arial" w:hAnsi="Arial" w:eastAsia="Arial"/>
                      <w:color w:val="000000"/>
                      <w:spacing w:val="-4"/>
                      <w:w w:val="100"/>
                      <w:sz w:val="16"/>
                      <w:vertAlign w:val="baseline"/>
                      <w:lang w:val="en-US"/>
                    </w:rPr>
                    <w:t xml:space="preserve">No</w:t>
                  </w:r>
                </w:p>
              </w:txbxContent>
            </v:textbox>
          </v:shape>
        </w:pict>
      </w:r>
      <w:r>
        <w:rPr>
          <w:rFonts w:ascii="Arial" w:hAnsi="Arial" w:eastAsia="Arial"/>
          <w:color w:val="000000"/>
          <w:spacing w:val="0"/>
          <w:w w:val="100"/>
          <w:sz w:val="16"/>
          <w:vertAlign w:val="baseline"/>
          <w:lang w:val="en-US"/>
        </w:rPr>
        <w:t xml:space="preserve">Operations - Freight and Logistics for parts delivery</w:t>
      </w:r>
    </w:p>
    <w:p>
      <w:pPr>
        <w:spacing w:before="0" w:after="0" w:line="343" w:lineRule="exact"/>
        <w:ind w:right="36" w:left="144" w:firstLine="0"/>
        <w:jc w:val="left"/>
        <w:textAlignment w:val="baseline"/>
        <w:rPr>
          <w:rFonts w:ascii="Arial" w:hAnsi="Arial" w:eastAsia="Arial"/>
          <w:color w:val="000000"/>
          <w:spacing w:val="0"/>
          <w:w w:val="100"/>
          <w:sz w:val="12"/>
          <w:vertAlign w:val="superscript"/>
          <w:lang w:val="en-US"/>
        </w:rPr>
      </w:pPr>
      <w:r>
        <w:rPr>
          <w:rFonts w:ascii="Arial" w:hAnsi="Arial" w:eastAsia="Arial"/>
          <w:color w:val="000000"/>
          <w:spacing w:val="0"/>
          <w:w w:val="100"/>
          <w:sz w:val="12"/>
          <w:vertAlign w:val="superscript"/>
          <w:lang w:val="en-US"/>
        </w:rPr>
        <w:t xml:space="preserve">*</w:t>
      </w:r>
      <w:r>
        <w:rPr>
          <w:rFonts w:ascii="Arial" w:hAnsi="Arial" w:eastAsia="Arial"/>
          <w:color w:val="000000"/>
          <w:spacing w:val="0"/>
          <w:w w:val="100"/>
          <w:sz w:val="16"/>
          <w:vertAlign w:val="baseline"/>
          <w:lang w:val="en-US"/>
        </w:rPr>
        <w:t xml:space="preserve">An Australian entity is an entity with an ABN or ACN</w:t>
        <w:br/>
      </w:r>
      <w:r>
        <w:rPr>
          <w:rFonts w:ascii="Arial" w:hAnsi="Arial" w:eastAsia="Arial"/>
          <w:color w:val="000000"/>
          <w:spacing w:val="0"/>
          <w:w w:val="100"/>
          <w:sz w:val="16"/>
          <w:vertAlign w:val="baseline"/>
          <w:lang w:val="en-US"/>
        </w:rPr>
        <w:t xml:space="preserve">Facility standards:</w:t>
      </w:r>
    </w:p>
    <w:p>
      <w:pPr>
        <w:spacing w:before="95" w:after="4543" w:line="221" w:lineRule="exact"/>
        <w:ind w:right="36" w:left="79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Australian</w:t>
        <w:br/>
      </w:r>
      <w:r>
        <w:rPr>
          <w:rFonts w:ascii="Arial" w:hAnsi="Arial" w:eastAsia="Arial"/>
          <w:color w:val="000000"/>
          <w:spacing w:val="0"/>
          <w:w w:val="100"/>
          <w:sz w:val="16"/>
          <w:vertAlign w:val="baseline"/>
          <w:lang w:val="en-US"/>
        </w:rPr>
        <w:t xml:space="preserve">International</w:t>
      </w:r>
    </w:p>
    <w:p>
      <w:pPr>
        <w:spacing w:before="4" w:after="0" w:line="249" w:lineRule="exact"/>
        <w:ind w:right="36" w:left="0" w:firstLine="0"/>
        <w:jc w:val="right"/>
        <w:textAlignment w:val="baseline"/>
        <w:rPr>
          <w:rFonts w:ascii="Times New Roman" w:hAnsi="Times New Roman" w:eastAsia="Times New Roman"/>
          <w:color w:val="000000"/>
          <w:spacing w:val="8"/>
          <w:w w:val="100"/>
          <w:sz w:val="22"/>
          <w:vertAlign w:val="baseline"/>
          <w:lang w:val="en-US"/>
        </w:rPr>
      </w:pPr>
      <w:r>
        <w:rPr>
          <w:rFonts w:ascii="Times New Roman" w:hAnsi="Times New Roman" w:eastAsia="Times New Roman"/>
          <w:color w:val="000000"/>
          <w:spacing w:val="8"/>
          <w:w w:val="100"/>
          <w:sz w:val="22"/>
          <w:vertAlign w:val="baseline"/>
          <w:lang w:val="en-US"/>
        </w:rPr>
        <w:t xml:space="preserve">Page 4 of 5</w:t>
      </w:r>
    </w:p>
    <w:p>
      <w:pPr>
        <w:sectPr>
          <w:type w:val="nextPage"/>
          <w:pgSz w:w="11904" w:h="16843" w:orient="portrait"/>
          <w:pgMar w:bottom="867" w:top="1040" w:right="946" w:left="878" w:header="720" w:footer="720"/>
          <w:titlePg w:val="false"/>
          <w:textDirection w:val="lrTb"/>
        </w:sectPr>
      </w:pPr>
    </w:p>
    <w:p>
      <w:pPr>
        <w:spacing w:before="3" w:after="813" w:line="188" w:lineRule="exact"/>
        <w:ind w:right="0" w:left="0" w:firstLine="0"/>
        <w:jc w:val="center"/>
        <w:textAlignment w:val="baseline"/>
        <w:rPr>
          <w:rFonts w:ascii="Times New Roman" w:hAnsi="Times New Roman" w:eastAsia="Times New Roman"/>
          <w:color w:val="000000"/>
          <w:spacing w:val="-1"/>
          <w:w w:val="100"/>
          <w:sz w:val="16"/>
          <w:vertAlign w:val="baseline"/>
          <w:lang w:val="en-US"/>
        </w:rPr>
      </w:pPr>
      <w:r>
        <w:rPr>
          <w:rFonts w:ascii="Times New Roman" w:hAnsi="Times New Roman" w:eastAsia="Times New Roman"/>
          <w:color w:val="000000"/>
          <w:spacing w:val="-1"/>
          <w:w w:val="100"/>
          <w:sz w:val="16"/>
          <w:vertAlign w:val="baseline"/>
          <w:lang w:val="en-US"/>
        </w:rPr>
        <w:t xml:space="preserve">***** Approved by AIP Authority on Wed Jun 08 2022 12:47:24 GMT+1 000 (AEST) *****</w:t>
      </w:r>
    </w:p>
    <w:p>
      <w:pPr>
        <w:spacing w:before="3" w:after="813" w:line="188" w:lineRule="exact"/>
        <w:sectPr>
          <w:type w:val="nextPage"/>
          <w:pgSz w:w="11904" w:h="16843" w:orient="portrait"/>
          <w:pgMar w:bottom="867" w:top="1040" w:right="3005" w:left="2779" w:header="720" w:footer="720"/>
          <w:titlePg w:val="false"/>
          <w:textDirection w:val="lrTb"/>
        </w:sectPr>
      </w:pPr>
    </w:p>
    <w:p>
      <w:pPr>
        <w:spacing w:before="0" w:after="0" w:line="395" w:lineRule="exact"/>
        <w:ind w:right="0" w:left="0"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49" w:after="0" w:line="186"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Facility operator’s contact person for supplier enquiries:</w:t>
      </w:r>
    </w:p>
    <w:p>
      <w:pPr>
        <w:spacing w:before="136" w:after="0" w:line="187"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Anna Hedgcock</w:t>
      </w:r>
    </w:p>
    <w:p>
      <w:pPr>
        <w:spacing w:before="34" w:after="0" w:line="187" w:lineRule="exact"/>
        <w:ind w:right="0" w:left="0" w:firstLine="0"/>
        <w:jc w:val="left"/>
        <w:textAlignment w:val="baseline"/>
        <w:rPr>
          <w:rFonts w:ascii="Arial" w:hAnsi="Arial" w:eastAsia="Arial"/>
          <w:b w:val="true"/>
          <w:color w:val="000000"/>
          <w:spacing w:val="1"/>
          <w:w w:val="100"/>
          <w:sz w:val="16"/>
          <w:vertAlign w:val="baseline"/>
          <w:lang w:val="en-US"/>
        </w:rPr>
      </w:pPr>
      <w:r>
        <w:rPr>
          <w:rFonts w:ascii="Arial" w:hAnsi="Arial" w:eastAsia="Arial"/>
          <w:b w:val="true"/>
          <w:color w:val="000000"/>
          <w:spacing w:val="1"/>
          <w:w w:val="100"/>
          <w:sz w:val="16"/>
          <w:vertAlign w:val="baseline"/>
          <w:lang w:val="en-US"/>
        </w:rPr>
        <w:t xml:space="preserve">Contact person position </w:t>
      </w:r>
      <w:r>
        <w:rPr>
          <w:rFonts w:ascii="Arial" w:hAnsi="Arial" w:eastAsia="Arial"/>
          <w:color w:val="000000"/>
          <w:spacing w:val="1"/>
          <w:w w:val="100"/>
          <w:sz w:val="16"/>
          <w:vertAlign w:val="baseline"/>
          <w:lang w:val="en-US"/>
        </w:rPr>
        <w:t xml:space="preserve">Commercial Manager</w:t>
      </w:r>
    </w:p>
    <w:p>
      <w:pPr>
        <w:spacing w:before="34" w:after="0" w:line="187" w:lineRule="exact"/>
        <w:ind w:right="0" w:left="72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Arial" w:hAnsi="Arial" w:eastAsia="Arial"/>
          <w:color w:val="000000"/>
          <w:spacing w:val="0"/>
          <w:w w:val="100"/>
          <w:sz w:val="16"/>
          <w:vertAlign w:val="baseline"/>
          <w:lang w:val="en-US"/>
        </w:rPr>
        <w:t xml:space="preserve">0396178400</w:t>
      </w:r>
    </w:p>
    <w:p>
      <w:pPr>
        <w:spacing w:before="29" w:after="0" w:line="187" w:lineRule="exact"/>
        <w:ind w:right="0" w:left="136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E-mail </w:t>
      </w:r>
      <w:hyperlink r:id="dhId3">
        <w:r>
          <w:rPr>
            <w:rFonts w:ascii="Arial" w:hAnsi="Arial" w:eastAsia="Arial"/>
            <w:color w:val="0000FF"/>
            <w:spacing w:val="0"/>
            <w:w w:val="100"/>
            <w:sz w:val="16"/>
            <w:u w:val="single"/>
            <w:vertAlign w:val="baseline"/>
            <w:lang w:val="en-US"/>
          </w:rPr>
          <w:t xml:space="preserve">info@hillsofgoldenergy.com</w:t>
        </w:r>
      </w:hyperlink>
      <w:r>
        <w:rPr>
          <w:rFonts w:ascii="Arial" w:hAnsi="Arial" w:eastAsia="Arial"/>
          <w:color w:val="000000"/>
          <w:spacing w:val="0"/>
          <w:w w:val="100"/>
          <w:sz w:val="16"/>
          <w:vertAlign w:val="baseline"/>
          <w:lang w:val="en-US"/>
        </w:rPr>
        <w:t xml:space="preserve">
</w:t>
      </w:r>
    </w:p>
    <w:p>
      <w:pPr>
        <w:spacing w:before="197" w:after="0" w:line="186"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Facility operator website: </w:t>
      </w:r>
      <w:hyperlink r:id="dhId4">
        <w:r>
          <w:rPr>
            <w:rFonts w:ascii="Arial" w:hAnsi="Arial" w:eastAsia="Arial"/>
            <w:color w:val="0000FF"/>
            <w:spacing w:val="-2"/>
            <w:w w:val="100"/>
            <w:sz w:val="16"/>
            <w:u w:val="single"/>
            <w:vertAlign w:val="baseline"/>
            <w:lang w:val="en-US"/>
          </w:rPr>
          <w:t xml:space="preserve">www.hillsofgoldenergy.com</w:t>
        </w:r>
      </w:hyperlink>
      <w:r>
        <w:rPr>
          <w:rFonts w:ascii="Arial" w:hAnsi="Arial" w:eastAsia="Arial"/>
          <w:color w:val="000000"/>
          <w:spacing w:val="-2"/>
          <w:w w:val="100"/>
          <w:sz w:val="16"/>
          <w:vertAlign w:val="baseline"/>
          <w:lang w:val="en-US"/>
        </w:rPr>
        <w:t xml:space="preserve">
</w:t>
      </w:r>
    </w:p>
    <w:p>
      <w:pPr>
        <w:spacing w:before="117" w:after="0" w:line="220" w:lineRule="exact"/>
        <w:ind w:right="72"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Facility opportunities website: During the operations phase, the Operations and Maintenance Prime Contractor and managing entity, Hills of Gold Wind Farm Pty Ltd will maintain </w:t>
      </w:r>
      <w:hyperlink r:id="dhId5">
        <w:r>
          <w:rPr>
            <w:rFonts w:ascii="Arial" w:hAnsi="Arial" w:eastAsia="Arial"/>
            <w:color w:val="0000FF"/>
            <w:spacing w:val="-4"/>
            <w:w w:val="100"/>
            <w:sz w:val="16"/>
            <w:u w:val="single"/>
            <w:vertAlign w:val="baseline"/>
            <w:lang w:val="en-US"/>
          </w:rPr>
          <w:t xml:space="preserve">www.hillsofgoldenergy.com</w:t>
        </w:r>
      </w:hyperlink>
      <w:r>
        <w:rPr>
          <w:rFonts w:ascii="Arial" w:hAnsi="Arial" w:eastAsia="Arial"/>
          <w:color w:val="000000"/>
          <w:spacing w:val="-4"/>
          <w:w w:val="100"/>
          <w:sz w:val="16"/>
          <w:vertAlign w:val="baseline"/>
          <w:lang w:val="en-US"/>
        </w:rPr>
        <w:t xml:space="preserve"> and the relevant ICN website address, under </w:t>
      </w:r>
      <w:hyperlink r:id="dhId6">
        <w:r>
          <w:rPr>
            <w:rFonts w:ascii="Arial" w:hAnsi="Arial" w:eastAsia="Arial"/>
            <w:color w:val="0000FF"/>
            <w:spacing w:val="-4"/>
            <w:w w:val="100"/>
            <w:sz w:val="16"/>
            <w:u w:val="single"/>
            <w:vertAlign w:val="baseline"/>
            <w:lang w:val="en-US"/>
          </w:rPr>
          <w:t xml:space="preserve">https://gateway.icn.org.au</w:t>
        </w:r>
      </w:hyperlink>
      <w:r>
        <w:rPr>
          <w:rFonts w:ascii="Arial" w:hAnsi="Arial" w:eastAsia="Arial"/>
          <w:color w:val="000000"/>
          <w:spacing w:val="-4"/>
          <w:w w:val="100"/>
          <w:sz w:val="16"/>
          <w:vertAlign w:val="baseline"/>
          <w:lang w:val="en-US"/>
        </w:rPr>
        <w:t xml:space="preserve">, as the facilities operator website.</w:t>
      </w:r>
    </w:p>
    <w:p>
      <w:pPr>
        <w:spacing w:before="136" w:after="0" w:line="186"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Supplier engagement and communication actions :</w:t>
      </w:r>
    </w:p>
    <w:p>
      <w:pPr>
        <w:spacing w:before="155" w:after="0" w:line="186" w:lineRule="exact"/>
        <w:ind w:right="0" w:left="57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Engage with vendor identification agencies on project opportunities and bid processes</w:t>
      </w:r>
    </w:p>
    <w:p>
      <w:pPr>
        <w:spacing w:before="30" w:after="0" w:line="186"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Conduct supplier information briefings on project opportunities and bid processes</w:t>
      </w:r>
    </w:p>
    <w:p>
      <w:pPr>
        <w:spacing w:before="34" w:after="0" w:line="186" w:lineRule="exact"/>
        <w:ind w:right="0" w:left="57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Issue media releases or ASX announcements on project developments and opportunities</w:t>
      </w:r>
    </w:p>
    <w:p>
      <w:pPr>
        <w:spacing w:before="35" w:after="0" w:line="186"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Develop and distribute a supplier information guide for the project</w:t>
      </w:r>
    </w:p>
    <w:p>
      <w:pPr>
        <w:spacing w:before="35" w:after="0" w:line="186"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Directly contact suppliers with information on project opportunities and bid processes</w:t>
      </w:r>
    </w:p>
    <w:p>
      <w:pPr>
        <w:spacing w:before="469" w:after="0" w:line="397" w:lineRule="exact"/>
        <w:ind w:right="0" w:left="0"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50" w:after="0" w:line="186"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30" w:after="0" w:line="186"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Recommend suppliers undertake training and/or accreditation</w:t>
      </w:r>
    </w:p>
    <w:p>
      <w:pPr>
        <w:spacing w:before="35" w:after="0" w:line="186"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Provide market intelligence to suppliers</w:t>
      </w:r>
    </w:p>
    <w:p>
      <w:pPr>
        <w:spacing w:before="35" w:after="0" w:line="186"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 development initiatives of industry associations or governments</w:t>
      </w:r>
    </w:p>
    <w:p>
      <w:pPr>
        <w:spacing w:before="193" w:after="0" w:line="186"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120" w:after="0" w:line="221"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Introduce suppliers to global supply chain partners</w:t>
        <w:br/>
      </w:r>
      <w:r>
        <w:rPr>
          <w:rFonts w:ascii="Arial" w:hAnsi="Arial" w:eastAsia="Arial"/>
          <w:color w:val="000000"/>
          <w:spacing w:val="0"/>
          <w:w w:val="100"/>
          <w:sz w:val="16"/>
          <w:vertAlign w:val="baseline"/>
          <w:lang w:val="en-US"/>
        </w:rPr>
        <w:t xml:space="preserve">Provide references for high performing suppliers</w:t>
      </w:r>
    </w:p>
    <w:p>
      <w:pPr>
        <w:spacing w:before="193" w:after="0" w:line="186"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Feedback process for unsuccessful bidders:</w:t>
      </w:r>
    </w:p>
    <w:p>
      <w:pPr>
        <w:spacing w:before="107" w:after="3740" w:line="219"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During prequalification; Advise the supplier on shortfalls identified during the prequalification stage and have them submit additional information to support. Advise any industry bodies they may be able to make contact with dependent on the issue. During bid phase; Provide feedback on unsuccessful bid including reason as to why, i.e. price, lead time etc, This may include making contact with associations or training bodies to recommend to the supplier to assist in gaining further accreditation for future opportunities This will also occur for suppliers required for the operations phase of the project. After the construction phase, the operations phase will also be provided by the Prime Contractor supplying the WTG.</w:t>
      </w:r>
    </w:p>
    <w:p>
      <w:pPr>
        <w:spacing w:before="107" w:after="3740" w:line="219" w:lineRule="exact"/>
        <w:sectPr>
          <w:type w:val="continuous"/>
          <w:pgSz w:w="11904" w:h="16843" w:orient="portrait"/>
          <w:pgMar w:bottom="867" w:top="1040" w:right="1442" w:left="1042"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5 of 5</w:t>
      </w:r>
    </w:p>
    <w:sectPr>
      <w:type w:val="continuous"/>
      <w:pgSz w:w="11904" w:h="16843" w:orient="portrait"/>
      <w:pgMar w:bottom="867" w:top="1040" w:right="1026" w:left="975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info@hillsofgoldenergy.com"/><Relationship Id="dhId2" Type="http://schemas.openxmlformats.org/officeDocument/2006/relationships/hyperlink" TargetMode="External" Target="http://www.hillsofgoldenergy.com"/><Relationship Id="dhId3" Type="http://schemas.openxmlformats.org/officeDocument/2006/relationships/hyperlink" TargetMode="External" Target="mailto:info@hillsofgoldenergy.com"/><Relationship Id="dhId4" Type="http://schemas.openxmlformats.org/officeDocument/2006/relationships/hyperlink" TargetMode="External" Target="http://www.hillsofgoldenergy.com"/><Relationship Id="dhId5" Type="http://schemas.openxmlformats.org/officeDocument/2006/relationships/hyperlink" TargetMode="External" Target="http://www.hillsofgoldenergy.com"/><Relationship Id="dhId6" Type="http://schemas.openxmlformats.org/officeDocument/2006/relationships/hyperlink" TargetMode="External" Target="https://gateway.icn.org.au"/><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þÿ</dc:title>
</cp:coreProperties>
</file>