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14" w:rsidRDefault="00E3721B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814" w:rsidRDefault="00A10814">
      <w:pPr>
        <w:spacing w:before="3" w:after="616"/>
        <w:sectPr w:rsidR="00A10814">
          <w:pgSz w:w="11904" w:h="16843"/>
          <w:pgMar w:top="2680" w:right="5727" w:bottom="1787" w:left="1037" w:header="720" w:footer="720" w:gutter="0"/>
          <w:cols w:space="720"/>
        </w:sectPr>
      </w:pPr>
    </w:p>
    <w:p w:rsidR="00A10814" w:rsidRDefault="00E3721B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A10814" w:rsidRDefault="00E3721B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3380105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29AE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66.15pt" to="553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" strokecolor="#d3d6e2" strokeweight="2.4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:rsidR="00A10814" w:rsidRDefault="00E3721B">
      <w:pPr>
        <w:spacing w:before="242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4248785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3259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334.55pt" to="55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z w:val="17"/>
        </w:rPr>
        <w:t xml:space="preserve">Company/organisation name: </w:t>
      </w:r>
      <w:r>
        <w:rPr>
          <w:rFonts w:ascii="Tahoma" w:eastAsia="Tahoma" w:hAnsi="Tahoma"/>
          <w:color w:val="202B34"/>
          <w:sz w:val="15"/>
        </w:rPr>
        <w:t>The Trustee for The Roe Highway Logistics Park Unit Trust</w:t>
      </w:r>
    </w:p>
    <w:p w:rsidR="00A10814" w:rsidRDefault="00E3721B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Project name: </w:t>
      </w:r>
      <w:r>
        <w:rPr>
          <w:rFonts w:ascii="Tahoma" w:eastAsia="Tahoma" w:hAnsi="Tahoma"/>
          <w:color w:val="202B34"/>
          <w:sz w:val="15"/>
        </w:rPr>
        <w:t>Roe Highway Logistics Park</w:t>
      </w:r>
    </w:p>
    <w:p w:rsidR="00A10814" w:rsidRDefault="00E3721B">
      <w:pPr>
        <w:spacing w:before="30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Description of the project: </w:t>
      </w:r>
      <w:r>
        <w:rPr>
          <w:rFonts w:ascii="Tahoma" w:eastAsia="Tahoma" w:hAnsi="Tahoma"/>
          <w:color w:val="202B34"/>
          <w:sz w:val="15"/>
        </w:rPr>
        <w:t>Roe Highway Logistics Park is a 56-hectare warehouse industrial precinct in Kenwick, Western Australia. It is midway</w:t>
      </w:r>
    </w:p>
    <w:p w:rsidR="00A10814" w:rsidRDefault="00E3721B">
      <w:pPr>
        <w:spacing w:before="26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through its delivery programme with five warehouses completed and operational and a further [five] warehouses to be completed (noting some lots</w:t>
      </w:r>
    </w:p>
    <w:p w:rsidR="00A10814" w:rsidRDefault="00E3721B">
      <w:pPr>
        <w:spacing w:before="31" w:line="189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may be developed whilst some may be sold).</w:t>
      </w:r>
    </w:p>
    <w:p w:rsidR="00A10814" w:rsidRDefault="00E3721B">
      <w:p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One warehouse commenced construction in December 2020, and another ha</w:t>
      </w:r>
      <w:r>
        <w:rPr>
          <w:rFonts w:ascii="Tahoma" w:eastAsia="Tahoma" w:hAnsi="Tahoma"/>
          <w:color w:val="202B34"/>
          <w:sz w:val="15"/>
        </w:rPr>
        <w:t>rdstand project is expected to commence construction in February 2021.</w:t>
      </w:r>
    </w:p>
    <w:p w:rsidR="00A10814" w:rsidRDefault="00E3721B">
      <w:p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Both are anticipated to be operational by July 2021.</w:t>
      </w:r>
    </w:p>
    <w:p w:rsidR="00A10814" w:rsidRDefault="00E3721B">
      <w:pPr>
        <w:spacing w:before="27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 further warehouse is expected to commence construction in April 2021 and is anticipated to be operational by October 2021.</w:t>
      </w:r>
    </w:p>
    <w:p w:rsidR="00A10814" w:rsidRDefault="00E3721B">
      <w:pPr>
        <w:spacing w:before="31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rem</w:t>
      </w:r>
      <w:r>
        <w:rPr>
          <w:rFonts w:ascii="Tahoma" w:eastAsia="Tahoma" w:hAnsi="Tahoma"/>
          <w:color w:val="202B34"/>
          <w:sz w:val="15"/>
        </w:rPr>
        <w:t>aining three warehouses are projected to commence in September 2021 before being operational in March 2022.</w:t>
      </w:r>
    </w:p>
    <w:p w:rsidR="00A10814" w:rsidRDefault="00E3721B">
      <w:pPr>
        <w:spacing w:before="257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5"/>
          <w:sz w:val="15"/>
        </w:rPr>
        <w:t>$88,250,000 AUD</w:t>
      </w:r>
    </w:p>
    <w:p w:rsidR="00A10814" w:rsidRDefault="00E3721B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5"/>
          <w:sz w:val="15"/>
        </w:rPr>
        <w:t>$51,020,000 AUD</w:t>
      </w:r>
    </w:p>
    <w:p w:rsidR="00A10814" w:rsidRDefault="00E3721B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>Project l</w:t>
      </w:r>
      <w:r>
        <w:rPr>
          <w:rFonts w:ascii="Arial" w:eastAsia="Arial" w:hAnsi="Arial"/>
          <w:b/>
          <w:color w:val="202B34"/>
          <w:sz w:val="17"/>
        </w:rPr>
        <w:t xml:space="preserve">ocation: </w:t>
      </w:r>
      <w:r>
        <w:rPr>
          <w:rFonts w:ascii="Tahoma" w:eastAsia="Tahoma" w:hAnsi="Tahoma"/>
          <w:color w:val="202B34"/>
          <w:sz w:val="15"/>
        </w:rPr>
        <w:t>Kenwick, Western Australia</w:t>
      </w:r>
    </w:p>
    <w:p w:rsidR="00A10814" w:rsidRDefault="00E3721B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pacing w:val="-2"/>
          <w:sz w:val="17"/>
        </w:rPr>
      </w:pPr>
      <w:r>
        <w:rPr>
          <w:rFonts w:ascii="Arial" w:eastAsia="Arial" w:hAnsi="Arial"/>
          <w:b/>
          <w:color w:val="202B34"/>
          <w:spacing w:val="-2"/>
          <w:sz w:val="17"/>
        </w:rPr>
        <w:t xml:space="preserve">Link to project information: </w:t>
      </w:r>
      <w:hyperlink r:id="rId6">
        <w:r>
          <w:rPr>
            <w:rFonts w:ascii="Tahoma" w:eastAsia="Tahoma" w:hAnsi="Tahoma"/>
            <w:color w:val="0000FF"/>
            <w:spacing w:val="-2"/>
            <w:sz w:val="15"/>
            <w:u w:val="single"/>
          </w:rPr>
          <w:t>www.rhlp.com.au</w:t>
        </w:r>
      </w:hyperlink>
      <w:r>
        <w:rPr>
          <w:rFonts w:ascii="Tahoma" w:eastAsia="Tahoma" w:hAnsi="Tahoma"/>
          <w:color w:val="202B34"/>
          <w:spacing w:val="-2"/>
          <w:sz w:val="15"/>
        </w:rPr>
        <w:t xml:space="preserve"> </w:t>
      </w:r>
    </w:p>
    <w:p w:rsidR="00A10814" w:rsidRDefault="00E3721B">
      <w:pPr>
        <w:spacing w:before="30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:rsidR="00A10814" w:rsidRDefault="00E3721B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Name: </w:t>
      </w:r>
      <w:r>
        <w:rPr>
          <w:rFonts w:ascii="Tahoma" w:eastAsia="Tahoma" w:hAnsi="Tahoma"/>
          <w:color w:val="202B34"/>
          <w:spacing w:val="-1"/>
          <w:sz w:val="15"/>
        </w:rPr>
        <w:t>Glenn Coffey</w:t>
      </w:r>
    </w:p>
    <w:p w:rsidR="00A10814" w:rsidRDefault="00E3721B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5"/>
        </w:rPr>
        <w:t>0414933272</w:t>
      </w:r>
    </w:p>
    <w:p w:rsidR="00A10814" w:rsidRDefault="00E3721B">
      <w:pPr>
        <w:spacing w:before="31" w:after="656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2"/>
          <w:sz w:val="17"/>
        </w:rPr>
      </w:pPr>
      <w:r>
        <w:rPr>
          <w:rFonts w:ascii="Arial" w:eastAsia="Arial" w:hAnsi="Arial"/>
          <w:b/>
          <w:color w:val="202B34"/>
          <w:spacing w:val="-2"/>
          <w:sz w:val="17"/>
        </w:rPr>
        <w:t xml:space="preserve">Email address: </w:t>
      </w:r>
      <w:hyperlink r:id="rId7">
        <w:r>
          <w:rPr>
            <w:rFonts w:ascii="Tahoma" w:eastAsia="Tahoma" w:hAnsi="Tahoma"/>
            <w:color w:val="0000FF"/>
            <w:spacing w:val="-2"/>
            <w:sz w:val="15"/>
            <w:u w:val="single"/>
          </w:rPr>
          <w:t>glenn@hesperia.com.au</w:t>
        </w:r>
      </w:hyperlink>
      <w:r>
        <w:rPr>
          <w:rFonts w:ascii="Tahoma" w:eastAsia="Tahoma" w:hAnsi="Tahoma"/>
          <w:color w:val="202B34"/>
          <w:spacing w:val="-2"/>
          <w:sz w:val="15"/>
        </w:rPr>
        <w:t xml:space="preserve"> </w:t>
      </w:r>
    </w:p>
    <w:p w:rsidR="00A10814" w:rsidRDefault="00E3721B">
      <w:pPr>
        <w:spacing w:after="158" w:line="446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A10814" w:rsidRDefault="00E3721B">
      <w:pPr>
        <w:spacing w:before="185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7702550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027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606.5pt" to="553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v4O4vd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A1081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212" w:after="224" w:line="216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after="181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after="181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5" w:line="189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Retaining Wall supply and installation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9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9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98" w:after="124" w:line="190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Civil Works including bulk earthworks, stormwater drainage supply and install and brick paving.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7" w:after="96" w:line="216" w:lineRule="exact"/>
              <w:ind w:left="72" w:right="684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Concrete works including footings, warehouse floor slabs, office slabs and external concrete pavement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:rsidR="00A10814" w:rsidRDefault="00A10814">
      <w:pPr>
        <w:sectPr w:rsidR="00A10814">
          <w:type w:val="continuous"/>
          <w:pgSz w:w="11904" w:h="16843"/>
          <w:pgMar w:top="2680" w:right="845" w:bottom="1787" w:left="859" w:header="720" w:footer="720" w:gutter="0"/>
          <w:cols w:space="720"/>
        </w:sectPr>
      </w:pPr>
    </w:p>
    <w:p w:rsidR="00A10814" w:rsidRDefault="00A10814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A1081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13" w:after="11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Precast concrete panels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0" w:after="17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0" w:after="17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9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Structural Steel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4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Roller shutter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2" w:after="81" w:line="221" w:lineRule="exact"/>
              <w:ind w:left="72" w:right="648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Cladding for walls and roof inclusive of decorative cladding. Also inclusive of roof access and walkways.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65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65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2" w:after="76" w:line="221" w:lineRule="exact"/>
              <w:ind w:left="108" w:right="144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Door and Window supply and installation. Inclusive of door and window hardware, and metal louvres and grilles.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6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6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6" w:after="92" w:line="216" w:lineRule="exact"/>
              <w:ind w:left="72" w:right="180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Office finishing inclusive of ceilings, internal wall framing and wall lining and glass partitions to main office.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4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Floor finishing inclusive of carpet and vinyl, skirting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4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Tiling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8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8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0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Metal work, bollards, guardrails, handrails, fencing, barriers and gate supply and install/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8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19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Joinery, carpentry and miscellaneous fixtures.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1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Painting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7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7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52" w:after="86" w:line="221" w:lineRule="exact"/>
              <w:ind w:left="108" w:right="252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Hydraulic services including supply and install of water and wastewater services. Inclusive of ATU supply and install.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Mechanical services including air conditioning, fans and lourvers.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8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6" w:after="83" w:line="221" w:lineRule="exact"/>
              <w:ind w:left="108" w:right="828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Electrical services including supply and install of cabling, lighting, switchboard and step up transformer.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3" w:after="26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123" w:after="26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98" w:after="119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Fire protection service supply and installation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103" w:after="129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Landscaping and Reticulation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9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0" w:after="19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A1081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0814" w:rsidRDefault="00E3721B">
            <w:pPr>
              <w:spacing w:before="98" w:after="143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Gantry Crane supply and installation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202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0814" w:rsidRDefault="00E3721B">
            <w:pPr>
              <w:spacing w:before="41" w:after="202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:rsidR="00A10814" w:rsidRDefault="00A10814">
      <w:pPr>
        <w:spacing w:after="310" w:line="20" w:lineRule="exact"/>
      </w:pPr>
    </w:p>
    <w:p w:rsidR="00A10814" w:rsidRDefault="00E3721B">
      <w:pPr>
        <w:spacing w:line="188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* An Australian supplier means an entity that has an ABN or an ACN</w:t>
      </w:r>
    </w:p>
    <w:p w:rsidR="00A10814" w:rsidRDefault="00E3721B">
      <w:pPr>
        <w:spacing w:before="197" w:line="221" w:lineRule="exact"/>
        <w:ind w:left="72"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Disclaimer: The information provided in the table above is based on an initial assessment by the company. Any questions or issues should be raised with the project contact.</w:t>
      </w:r>
    </w:p>
    <w:p w:rsidR="00A10814" w:rsidRDefault="00E3721B">
      <w:pPr>
        <w:numPr>
          <w:ilvl w:val="0"/>
          <w:numId w:val="1"/>
        </w:numPr>
        <w:tabs>
          <w:tab w:val="clear" w:pos="216"/>
          <w:tab w:val="left" w:pos="504"/>
        </w:tabs>
        <w:spacing w:before="251" w:after="662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Australian stand</w:t>
      </w:r>
      <w:r>
        <w:rPr>
          <w:rFonts w:ascii="Tahoma" w:eastAsia="Tahoma" w:hAnsi="Tahoma"/>
          <w:color w:val="202B34"/>
          <w:sz w:val="15"/>
        </w:rPr>
        <w:t>ards and certifications will be required for the key goods and services in this project.</w:t>
      </w:r>
    </w:p>
    <w:p w:rsidR="00A10814" w:rsidRDefault="00E3721B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9"/>
          <w:sz w:val="36"/>
        </w:rPr>
      </w:pPr>
      <w:r>
        <w:rPr>
          <w:rFonts w:ascii="Tahoma" w:eastAsia="Tahoma" w:hAnsi="Tahoma"/>
          <w:color w:val="202B34"/>
          <w:spacing w:val="9"/>
          <w:sz w:val="36"/>
        </w:rPr>
        <w:t>3. Communicating and providing opportunities</w:t>
      </w:r>
    </w:p>
    <w:p w:rsidR="00A10814" w:rsidRDefault="00E3721B">
      <w:pPr>
        <w:numPr>
          <w:ilvl w:val="0"/>
          <w:numId w:val="1"/>
        </w:numPr>
        <w:tabs>
          <w:tab w:val="clear" w:pos="216"/>
          <w:tab w:val="left" w:pos="504"/>
        </w:tabs>
        <w:spacing w:before="216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9074150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D52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714.5pt" to="552.65pt,7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"/>
          <w:sz w:val="15"/>
        </w:rPr>
        <w:t>Project website OR Project supplier portal</w:t>
      </w:r>
    </w:p>
    <w:p w:rsidR="00A10814" w:rsidRDefault="00A10814">
      <w:pPr>
        <w:sectPr w:rsidR="00A10814">
          <w:pgSz w:w="11904" w:h="16843"/>
          <w:pgMar w:top="3400" w:right="852" w:bottom="1747" w:left="852" w:header="720" w:footer="720" w:gutter="0"/>
          <w:cols w:space="720"/>
        </w:sectPr>
      </w:pP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8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lastRenderedPageBreak/>
        <w:t>Liaison with industry associations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Public announcements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Media releases – national broadsheet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192" w:lineRule="exact"/>
        <w:ind w:left="288"/>
        <w:textAlignment w:val="baseline"/>
        <w:rPr>
          <w:rFonts w:ascii="Tahoma" w:eastAsia="Tahoma" w:hAnsi="Tahoma"/>
          <w:color w:val="202B34"/>
          <w:spacing w:val="-1"/>
          <w:sz w:val="16"/>
        </w:rPr>
      </w:pPr>
      <w:r>
        <w:rPr>
          <w:rFonts w:ascii="Tahoma" w:eastAsia="Tahoma" w:hAnsi="Tahoma"/>
          <w:color w:val="202B34"/>
          <w:spacing w:val="-1"/>
          <w:sz w:val="16"/>
        </w:rPr>
        <w:t>Media releases – industry magazines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110" w:line="192" w:lineRule="exact"/>
        <w:ind w:left="288"/>
        <w:textAlignment w:val="baseline"/>
        <w:rPr>
          <w:rFonts w:ascii="Tahoma" w:eastAsia="Tahoma" w:hAnsi="Tahoma"/>
          <w:color w:val="202B34"/>
          <w:sz w:val="16"/>
        </w:rPr>
      </w:pPr>
      <w:r>
        <w:rPr>
          <w:rFonts w:ascii="Tahoma" w:eastAsia="Tahoma" w:hAnsi="Tahoma"/>
          <w:color w:val="202B34"/>
          <w:sz w:val="16"/>
        </w:rPr>
        <w:t>Social media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Direct contact with Australian industry (phone/email/letter)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Make tender documents available to all possible suppliers at the same time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Allow reasonable and equal time fo</w:t>
      </w:r>
      <w:r>
        <w:rPr>
          <w:rFonts w:ascii="Tahoma" w:eastAsia="Tahoma" w:hAnsi="Tahoma"/>
          <w:color w:val="202B34"/>
          <w:spacing w:val="-2"/>
          <w:sz w:val="16"/>
        </w:rPr>
        <w:t>r submissions/responses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Create, publish and distribute an AIP policy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Include requirement in tender documents that successful tenderers comply with AIP plan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105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Include contractual arrangements with suppliers to outline AIP arrangements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Establish reporting requ</w:t>
      </w:r>
      <w:r>
        <w:rPr>
          <w:rFonts w:ascii="Tahoma" w:eastAsia="Tahoma" w:hAnsi="Tahoma"/>
          <w:color w:val="202B34"/>
          <w:spacing w:val="-4"/>
          <w:sz w:val="16"/>
        </w:rPr>
        <w:t>irement that shows how the AIP plan has been implemented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All tenders from Australian and overseas suppliers will be assessed on the same basis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The organisation will ensure all AIP plan obligations will flow down to contractors and subcontractors</w:t>
      </w:r>
    </w:p>
    <w:p w:rsidR="00A10814" w:rsidRDefault="00E3721B">
      <w:pPr>
        <w:spacing w:before="558" w:after="167" w:line="450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36"/>
        </w:rPr>
      </w:pPr>
      <w:r>
        <w:rPr>
          <w:rFonts w:ascii="Tahoma" w:eastAsia="Tahoma" w:hAnsi="Tahoma"/>
          <w:color w:val="202B34"/>
          <w:spacing w:val="4"/>
          <w:sz w:val="36"/>
        </w:rPr>
        <w:t>4. Facilitating future opportunities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209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4846320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1F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381.6pt" to="552.65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-3"/>
          <w:sz w:val="16"/>
        </w:rPr>
        <w:t>Provide advice to project suppliers on strategies and activities to undertake to be considered for inclusion in domestic and international supply</w:t>
      </w:r>
    </w:p>
    <w:p w:rsidR="00A10814" w:rsidRDefault="00E3721B">
      <w:pPr>
        <w:spacing w:before="29" w:line="191" w:lineRule="exact"/>
        <w:ind w:left="504"/>
        <w:textAlignment w:val="baseline"/>
        <w:rPr>
          <w:rFonts w:ascii="Tahoma" w:eastAsia="Tahoma" w:hAnsi="Tahoma"/>
          <w:color w:val="202B34"/>
          <w:spacing w:val="-1"/>
          <w:sz w:val="16"/>
        </w:rPr>
      </w:pPr>
      <w:r>
        <w:rPr>
          <w:rFonts w:ascii="Tahoma" w:eastAsia="Tahoma" w:hAnsi="Tahoma"/>
          <w:color w:val="202B34"/>
          <w:spacing w:val="-1"/>
          <w:sz w:val="16"/>
        </w:rPr>
        <w:t>chains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 xml:space="preserve">Support and assist project suppliers to adopt specific standards </w:t>
      </w:r>
      <w:r>
        <w:rPr>
          <w:rFonts w:ascii="Tahoma" w:eastAsia="Tahoma" w:hAnsi="Tahoma"/>
          <w:color w:val="202B34"/>
          <w:spacing w:val="-3"/>
          <w:sz w:val="16"/>
        </w:rPr>
        <w:t>and accreditations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Transfer product and process technology, and organisational know-how, to project suppliers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Encourage project suppliers to undertake research and development and innovative activities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Brief procurement managers on the capabilities and ach</w:t>
      </w:r>
      <w:r>
        <w:rPr>
          <w:rFonts w:ascii="Tahoma" w:eastAsia="Tahoma" w:hAnsi="Tahoma"/>
          <w:color w:val="202B34"/>
          <w:spacing w:val="-3"/>
          <w:sz w:val="16"/>
        </w:rPr>
        <w:t>ievements of project suppliers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Provide strategic feedback to the Commonwealth on emerging trends in industry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Introduce project suppliers to global companies or suppliers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110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Communicate with global supply chain managers and procurement agents about Australian industry capability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Provide international market ‘intelligence’ to project suppliers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Recommend suppliers to appropriate government programmes for advice and support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Provi</w:t>
      </w:r>
      <w:r>
        <w:rPr>
          <w:rFonts w:ascii="Tahoma" w:eastAsia="Tahoma" w:hAnsi="Tahoma"/>
          <w:color w:val="202B34"/>
          <w:spacing w:val="-2"/>
          <w:sz w:val="16"/>
        </w:rPr>
        <w:t>de references for high performing suppliers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Provide unsuccessful tenderers with appropriate feedback to encourage future performance</w:t>
      </w:r>
    </w:p>
    <w:p w:rsidR="00A10814" w:rsidRDefault="00E3721B">
      <w:pPr>
        <w:spacing w:before="559" w:after="163" w:line="449" w:lineRule="exact"/>
        <w:ind w:left="288"/>
        <w:textAlignment w:val="baseline"/>
        <w:rPr>
          <w:rFonts w:ascii="Tahoma" w:eastAsia="Tahoma" w:hAnsi="Tahoma"/>
          <w:color w:val="202B34"/>
          <w:spacing w:val="6"/>
          <w:sz w:val="36"/>
        </w:rPr>
      </w:pPr>
      <w:r>
        <w:rPr>
          <w:rFonts w:ascii="Tahoma" w:eastAsia="Tahoma" w:hAnsi="Tahoma"/>
          <w:color w:val="202B34"/>
          <w:spacing w:val="6"/>
          <w:sz w:val="36"/>
        </w:rPr>
        <w:t>5. Implementation resources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209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7958455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0A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626.65pt" to="552.65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E4H58P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-4"/>
          <w:sz w:val="16"/>
        </w:rPr>
        <w:t>The organisation will record and/or retain evidence to demonstrate implementation of the approved AIP plan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Develop and implement standard contractual arrangements with suppliers to give Australian industry opportunities to participate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Develop systems to mo</w:t>
      </w:r>
      <w:r>
        <w:rPr>
          <w:rFonts w:ascii="Tahoma" w:eastAsia="Tahoma" w:hAnsi="Tahoma"/>
          <w:color w:val="202B34"/>
          <w:spacing w:val="-4"/>
          <w:sz w:val="16"/>
        </w:rPr>
        <w:t>nitor and report on the extent of Australian industry participation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Develop systems to identify inappropriate action under the AIP plan and to monitor/record the corrective action taken</w:t>
      </w:r>
    </w:p>
    <w:p w:rsidR="00A10814" w:rsidRDefault="00E3721B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Develop systems to identify and report any variations in AIP plan acti</w:t>
      </w:r>
      <w:r>
        <w:rPr>
          <w:rFonts w:ascii="Tahoma" w:eastAsia="Tahoma" w:hAnsi="Tahoma"/>
          <w:color w:val="202B34"/>
          <w:spacing w:val="-3"/>
          <w:sz w:val="16"/>
        </w:rPr>
        <w:t>vities</w:t>
      </w:r>
    </w:p>
    <w:sectPr w:rsidR="00A10814">
      <w:pgSz w:w="11904" w:h="16843"/>
      <w:pgMar w:top="2480" w:right="852" w:bottom="238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AD4"/>
    <w:multiLevelType w:val="multilevel"/>
    <w:tmpl w:val="6F9AE32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B38FE"/>
    <w:multiLevelType w:val="multilevel"/>
    <w:tmpl w:val="56DA826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-2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14"/>
    <w:rsid w:val="00A10814"/>
    <w:rsid w:val="00E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0A05C010-506C-4A8F-BFBD-7EC3336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nn@hesperia.com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lp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Rossi, Jacob</dc:creator>
  <cp:lastModifiedBy>Rossi, Jacob</cp:lastModifiedBy>
  <cp:revision>2</cp:revision>
  <dcterms:created xsi:type="dcterms:W3CDTF">2022-01-17T05:10:00Z</dcterms:created>
  <dcterms:modified xsi:type="dcterms:W3CDTF">2022-01-17T05:10:00Z</dcterms:modified>
</cp:coreProperties>
</file>